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335" w14:textId="08F16830" w:rsidR="00AE5250" w:rsidRPr="003B7BB0" w:rsidRDefault="00AE5250" w:rsidP="00AE5250">
      <w:pPr>
        <w:pStyle w:val="Nagwek1"/>
        <w:jc w:val="right"/>
        <w:rPr>
          <w:rFonts w:ascii="Times New Roman" w:hAnsi="Times New Roman" w:cs="Times New Roman"/>
          <w:color w:val="auto"/>
          <w:sz w:val="24"/>
          <w:szCs w:val="24"/>
        </w:rPr>
      </w:pPr>
      <w:r w:rsidRPr="003B7BB0">
        <w:rPr>
          <w:rFonts w:ascii="Times New Roman" w:hAnsi="Times New Roman" w:cs="Times New Roman"/>
          <w:color w:val="auto"/>
          <w:sz w:val="24"/>
          <w:szCs w:val="24"/>
        </w:rPr>
        <w:t>Załącznik</w:t>
      </w:r>
      <w:r w:rsidR="00DB1955" w:rsidRPr="003B7BB0">
        <w:rPr>
          <w:rFonts w:ascii="Times New Roman" w:hAnsi="Times New Roman" w:cs="Times New Roman"/>
          <w:color w:val="auto"/>
          <w:sz w:val="24"/>
          <w:szCs w:val="24"/>
        </w:rPr>
        <w:t xml:space="preserve"> nr</w:t>
      </w:r>
      <w:r w:rsidRPr="003B7BB0">
        <w:rPr>
          <w:rFonts w:ascii="Times New Roman" w:hAnsi="Times New Roman" w:cs="Times New Roman"/>
          <w:color w:val="auto"/>
          <w:sz w:val="24"/>
          <w:szCs w:val="24"/>
        </w:rPr>
        <w:t xml:space="preserve"> 1a</w:t>
      </w:r>
    </w:p>
    <w:p w14:paraId="12EB5271" w14:textId="02AD38FF" w:rsidR="003B7BB0" w:rsidRPr="003B7BB0" w:rsidRDefault="003B7BB0" w:rsidP="003B7BB0">
      <w:pPr>
        <w:jc w:val="right"/>
        <w:rPr>
          <w:rFonts w:ascii="Times New Roman" w:hAnsi="Times New Roman"/>
          <w:sz w:val="24"/>
          <w:szCs w:val="22"/>
        </w:rPr>
      </w:pPr>
      <w:r w:rsidRPr="003B7BB0">
        <w:rPr>
          <w:rFonts w:ascii="Times New Roman" w:hAnsi="Times New Roman"/>
          <w:sz w:val="24"/>
          <w:szCs w:val="22"/>
        </w:rPr>
        <w:t>do zapytania</w:t>
      </w:r>
    </w:p>
    <w:p w14:paraId="59411BA5" w14:textId="57859546" w:rsidR="005F3552" w:rsidRPr="00F72535" w:rsidRDefault="00F72535" w:rsidP="006B4125">
      <w:pPr>
        <w:pStyle w:val="Nagwek1"/>
        <w:jc w:val="center"/>
      </w:pPr>
      <w:r w:rsidRPr="00F72535">
        <w:t>Opis komputera – 10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7"/>
        <w:gridCol w:w="1712"/>
        <w:gridCol w:w="6902"/>
      </w:tblGrid>
      <w:tr w:rsidR="005A3726" w:rsidRPr="00F72535" w14:paraId="132C359B" w14:textId="77777777" w:rsidTr="005F3552">
        <w:trPr>
          <w:trHeight w:val="283"/>
        </w:trPr>
        <w:tc>
          <w:tcPr>
            <w:tcW w:w="5000" w:type="pct"/>
            <w:gridSpan w:val="3"/>
            <w:shd w:val="clear" w:color="auto" w:fill="auto"/>
            <w:vAlign w:val="center"/>
          </w:tcPr>
          <w:p w14:paraId="052C6505" w14:textId="77777777" w:rsidR="005A3726" w:rsidRPr="00F72535" w:rsidRDefault="005A3726" w:rsidP="000045F2">
            <w:r w:rsidRPr="00F72535">
              <w:t>Szczegółowy opis</w:t>
            </w:r>
          </w:p>
        </w:tc>
      </w:tr>
      <w:tr w:rsidR="005A3726" w:rsidRPr="00F72535" w14:paraId="1A11E7E8" w14:textId="77777777" w:rsidTr="005F3552">
        <w:trPr>
          <w:trHeight w:val="1474"/>
        </w:trPr>
        <w:tc>
          <w:tcPr>
            <w:tcW w:w="5000" w:type="pct"/>
            <w:gridSpan w:val="3"/>
            <w:shd w:val="clear" w:color="auto" w:fill="auto"/>
            <w:vAlign w:val="center"/>
          </w:tcPr>
          <w:p w14:paraId="2211250C" w14:textId="77777777" w:rsidR="005A3726" w:rsidRPr="00F72535" w:rsidRDefault="005A3726" w:rsidP="005C6F5F">
            <w:r w:rsidRPr="00F72535">
              <w:t>Komputer stacjonarny – stacja robocza.</w:t>
            </w:r>
          </w:p>
          <w:p w14:paraId="06C6F782" w14:textId="4037F04E" w:rsidR="005A3726" w:rsidRPr="00F72535" w:rsidRDefault="005A3726" w:rsidP="005C6F5F">
            <w:r w:rsidRPr="00F72535">
              <w:t>W ofercie należy podać nazwę producenta, typ, model, oraz numer katalogowy (numer konfiguracji lub part numer) oferowanego sprzętu umożliwiający jednoznaczną identyfikację oferowanej konfiguracji.</w:t>
            </w:r>
            <w:r w:rsidR="00D21731" w:rsidRPr="00F72535">
              <w:t xml:space="preserve"> </w:t>
            </w:r>
            <w:r w:rsidRPr="00F72535">
              <w:t>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r>
      <w:tr w:rsidR="005A3726" w:rsidRPr="00F72535" w14:paraId="122101D4" w14:textId="77777777" w:rsidTr="005F3552">
        <w:trPr>
          <w:trHeight w:val="850"/>
        </w:trPr>
        <w:tc>
          <w:tcPr>
            <w:tcW w:w="5000" w:type="pct"/>
            <w:gridSpan w:val="3"/>
            <w:shd w:val="clear" w:color="auto" w:fill="auto"/>
            <w:vAlign w:val="center"/>
          </w:tcPr>
          <w:p w14:paraId="3BFA732B" w14:textId="77777777" w:rsidR="005A3726" w:rsidRPr="00F72535" w:rsidRDefault="005A3726" w:rsidP="005C6F5F">
            <w:r w:rsidRPr="00F72535">
              <w:t>Nie dopuszcza się modyfikacji na drodze Producent-Zamawiający.</w:t>
            </w:r>
          </w:p>
        </w:tc>
      </w:tr>
      <w:tr w:rsidR="005A3726" w:rsidRPr="00F72535" w14:paraId="6F6755CB" w14:textId="77777777" w:rsidTr="005F3552">
        <w:trPr>
          <w:trHeight w:val="2835"/>
        </w:trPr>
        <w:tc>
          <w:tcPr>
            <w:tcW w:w="5000" w:type="pct"/>
            <w:gridSpan w:val="3"/>
            <w:shd w:val="clear" w:color="auto" w:fill="auto"/>
            <w:vAlign w:val="center"/>
          </w:tcPr>
          <w:p w14:paraId="174FE741" w14:textId="7824C5CB" w:rsidR="005A3726" w:rsidRPr="00F72535" w:rsidRDefault="005A3726" w:rsidP="005C6F5F">
            <w:r w:rsidRPr="00F72535">
              <w:t xml:space="preserve">Zamawiający zastrzega sobie prawo sprawdzenia pełnej zgodności parametrów oferowanego </w:t>
            </w:r>
            <w:r w:rsidRPr="00EA620D">
              <w:t>sprzętu z wymogami niniejszej SIWZ. W tym celu, Wykonawcy na wezwanie Zamawiającego dostarczą do siedziby Zamawiającego w terminie 7 dni od daty otrzymania wezwania, próbkę oferowanego sprzętu.</w:t>
            </w:r>
            <w:r w:rsidRPr="00F72535">
              <w:t xml:space="preserve"> W odniesieniu do oprogramowania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w:t>
            </w:r>
            <w:r w:rsidR="006B4D72">
              <w:t>I</w:t>
            </w:r>
            <w:r w:rsidRPr="00F72535">
              <w:t>WZ chociażby w zakresie jednego parametru podlegającemu badaniu bądź nieprzedłożenie wymaganej próbki w sposób i terminie wymaganym przez Zamawiającego będzie oznaczało negatywny wynik oceny próbki i będzie skutkowało odrzuceniem oferty n</w:t>
            </w:r>
            <w:r w:rsidRPr="005A35D3">
              <w:t>a podstawie art. 226 ust. 1 pkt 2 ustawy z dnia 11 września 2019 r. prawa zamówień publicznych (Dz. U. 202</w:t>
            </w:r>
            <w:r w:rsidR="00D21299" w:rsidRPr="005A35D3">
              <w:t>3</w:t>
            </w:r>
            <w:r w:rsidRPr="005A35D3">
              <w:t xml:space="preserve"> poz. </w:t>
            </w:r>
            <w:r w:rsidR="00D21299" w:rsidRPr="005A35D3">
              <w:t>1605)</w:t>
            </w:r>
            <w:r w:rsidRPr="005A35D3">
              <w:t xml:space="preserve"> </w:t>
            </w:r>
            <w:r w:rsidRPr="00F72535">
              <w:t>z uwagi na fakt, że treść oferty jest niezgodna z warunkami zamówienia. Szczegółowy sposób przygotowania i złożenia próbek zostanie dostarczony wykonawcom wraz z wezwaniem do złożenia próbek</w:t>
            </w:r>
          </w:p>
        </w:tc>
      </w:tr>
      <w:tr w:rsidR="005A3726" w:rsidRPr="00F72535" w14:paraId="16071745" w14:textId="77777777" w:rsidTr="005F3552">
        <w:trPr>
          <w:trHeight w:val="850"/>
        </w:trPr>
        <w:tc>
          <w:tcPr>
            <w:tcW w:w="5000" w:type="pct"/>
            <w:gridSpan w:val="3"/>
            <w:shd w:val="clear" w:color="auto" w:fill="auto"/>
            <w:vAlign w:val="center"/>
          </w:tcPr>
          <w:p w14:paraId="6A533AE3" w14:textId="77777777" w:rsidR="005A3726" w:rsidRPr="00F72535" w:rsidRDefault="005A3726" w:rsidP="005C6F5F">
            <w:r w:rsidRPr="00F72535">
              <w:t>Zamawiający zastrzega sobie prawo do sprawdzenia reżimu gwarancyjnego oraz dostarczonej konfiguracji na dedykowanej stronie internetowej producenta sprzętu.</w:t>
            </w:r>
          </w:p>
        </w:tc>
      </w:tr>
      <w:tr w:rsidR="005A3726" w:rsidRPr="00F72535" w14:paraId="5E235841" w14:textId="77777777" w:rsidTr="005F3552">
        <w:trPr>
          <w:trHeight w:val="284"/>
        </w:trPr>
        <w:tc>
          <w:tcPr>
            <w:tcW w:w="249" w:type="pct"/>
            <w:shd w:val="clear" w:color="auto" w:fill="auto"/>
            <w:vAlign w:val="center"/>
          </w:tcPr>
          <w:p w14:paraId="29146EC3" w14:textId="77777777" w:rsidR="005A3726" w:rsidRPr="00F72535" w:rsidRDefault="005A3726" w:rsidP="005F70BF">
            <w:pPr>
              <w:rPr>
                <w:lang w:eastAsia="en-US"/>
              </w:rPr>
            </w:pPr>
            <w:r w:rsidRPr="00F72535">
              <w:rPr>
                <w:lang w:eastAsia="en-US"/>
              </w:rPr>
              <w:t>Lp.</w:t>
            </w:r>
          </w:p>
        </w:tc>
        <w:tc>
          <w:tcPr>
            <w:tcW w:w="940" w:type="pct"/>
            <w:shd w:val="clear" w:color="auto" w:fill="auto"/>
            <w:vAlign w:val="center"/>
          </w:tcPr>
          <w:p w14:paraId="0FE9E744" w14:textId="77777777" w:rsidR="005A3726" w:rsidRPr="00F72535" w:rsidRDefault="005A3726" w:rsidP="005F70BF">
            <w:r w:rsidRPr="00F72535">
              <w:t>Nazwa komponentu</w:t>
            </w:r>
          </w:p>
        </w:tc>
        <w:tc>
          <w:tcPr>
            <w:tcW w:w="3811" w:type="pct"/>
            <w:shd w:val="clear" w:color="auto" w:fill="auto"/>
            <w:vAlign w:val="center"/>
          </w:tcPr>
          <w:p w14:paraId="1B59C691" w14:textId="77777777" w:rsidR="005A3726" w:rsidRPr="00F72535" w:rsidRDefault="005A3726" w:rsidP="005F70BF">
            <w:r w:rsidRPr="00F72535">
              <w:t>Wymagane minimalne parametry techniczne komputerów</w:t>
            </w:r>
          </w:p>
        </w:tc>
      </w:tr>
      <w:tr w:rsidR="005A3726" w:rsidRPr="00F72535" w14:paraId="508151F9" w14:textId="77777777" w:rsidTr="005F3552">
        <w:trPr>
          <w:trHeight w:val="284"/>
        </w:trPr>
        <w:tc>
          <w:tcPr>
            <w:tcW w:w="249" w:type="pct"/>
          </w:tcPr>
          <w:p w14:paraId="0CFD9C91" w14:textId="77777777" w:rsidR="005A3726" w:rsidRPr="00F72535" w:rsidRDefault="005A3726" w:rsidP="004B6C04"/>
        </w:tc>
        <w:tc>
          <w:tcPr>
            <w:tcW w:w="940" w:type="pct"/>
          </w:tcPr>
          <w:p w14:paraId="786C302D" w14:textId="77777777" w:rsidR="005A3726" w:rsidRPr="00F72535" w:rsidRDefault="005A3726" w:rsidP="000045F2">
            <w:r w:rsidRPr="00F72535">
              <w:t>Komputer</w:t>
            </w:r>
          </w:p>
        </w:tc>
        <w:tc>
          <w:tcPr>
            <w:tcW w:w="3811" w:type="pct"/>
          </w:tcPr>
          <w:p w14:paraId="0E5A0551" w14:textId="6732FFAB" w:rsidR="00446B4D" w:rsidRPr="00F72535" w:rsidRDefault="00446B4D" w:rsidP="000045F2">
            <w:r w:rsidRPr="00446B4D">
              <w:t>Komputer zostan</w:t>
            </w:r>
            <w:r>
              <w:t>ie</w:t>
            </w:r>
            <w:r w:rsidRPr="00446B4D">
              <w:t xml:space="preserve"> wykorzystan</w:t>
            </w:r>
            <w:r>
              <w:t>y</w:t>
            </w:r>
            <w:r w:rsidRPr="00446B4D">
              <w:t xml:space="preserve"> do wykonywania zaawansowanych analiz przestrzennych dla terenu całego miasta</w:t>
            </w:r>
            <w:r>
              <w:t>, w szczególności dla potrzeb opracowania planu ogólnego</w:t>
            </w:r>
            <w:r w:rsidRPr="00446B4D">
              <w:t xml:space="preserve">. </w:t>
            </w:r>
            <w:r>
              <w:t>D</w:t>
            </w:r>
            <w:r w:rsidRPr="00446B4D">
              <w:t>o tego celu zostaną</w:t>
            </w:r>
            <w:r>
              <w:t xml:space="preserve"> użyte </w:t>
            </w:r>
            <w:r w:rsidRPr="00446B4D">
              <w:t xml:space="preserve">mechanizmy sztucznej inteligencji korzystające z </w:t>
            </w:r>
            <w:proofErr w:type="spellStart"/>
            <w:r w:rsidRPr="00446B4D">
              <w:t>Deep</w:t>
            </w:r>
            <w:proofErr w:type="spellEnd"/>
            <w:r w:rsidRPr="00446B4D">
              <w:t xml:space="preserve"> Learning, które wymagają dużej mocy obliczeniowej. Zamawiający wykorzystywał będzie do tego technologię firmy ESRI. Na komputerach wykorzystywany będzie również pakiet Adobe Creative </w:t>
            </w:r>
            <w:proofErr w:type="spellStart"/>
            <w:r w:rsidRPr="00446B4D">
              <w:t>Cloud</w:t>
            </w:r>
            <w:proofErr w:type="spellEnd"/>
            <w:r w:rsidRPr="00446B4D">
              <w:t xml:space="preserve"> </w:t>
            </w:r>
            <w:r>
              <w:t xml:space="preserve">i </w:t>
            </w:r>
            <w:proofErr w:type="spellStart"/>
            <w:r w:rsidRPr="00446B4D">
              <w:t>Autodesk</w:t>
            </w:r>
            <w:proofErr w:type="spellEnd"/>
            <w:r w:rsidR="00C621B0">
              <w:t xml:space="preserve"> </w:t>
            </w:r>
            <w:r w:rsidR="00C621B0" w:rsidRPr="00C621B0">
              <w:t>AEC Collection</w:t>
            </w:r>
          </w:p>
          <w:p w14:paraId="1CFA7C5A" w14:textId="4C1B630A" w:rsidR="005A3726" w:rsidRPr="00F72535" w:rsidRDefault="005A3726" w:rsidP="005F70BF">
            <w:pPr>
              <w:rPr>
                <w:color w:val="000000"/>
              </w:rPr>
            </w:pPr>
            <w:r w:rsidRPr="00F72535">
              <w:t>W ofercie należy podać nazwę producenta, typ, model, oraz numer katalogowy oferowanego sprzętu umożliwiający jednoznaczną identyfikację oferowanej konfiguracji.</w:t>
            </w:r>
          </w:p>
        </w:tc>
      </w:tr>
      <w:tr w:rsidR="005A3726" w:rsidRPr="00F72535" w14:paraId="0B05E80A" w14:textId="77777777" w:rsidTr="005F3552">
        <w:trPr>
          <w:trHeight w:val="284"/>
        </w:trPr>
        <w:tc>
          <w:tcPr>
            <w:tcW w:w="249" w:type="pct"/>
          </w:tcPr>
          <w:p w14:paraId="0C32B007" w14:textId="77777777" w:rsidR="005A3726" w:rsidRPr="00F72535" w:rsidRDefault="005A3726" w:rsidP="004B6C04"/>
        </w:tc>
        <w:tc>
          <w:tcPr>
            <w:tcW w:w="940" w:type="pct"/>
          </w:tcPr>
          <w:p w14:paraId="0F97A59B" w14:textId="77777777" w:rsidR="005A3726" w:rsidRPr="00F72535" w:rsidRDefault="005A3726" w:rsidP="000045F2">
            <w:r w:rsidRPr="00F72535">
              <w:t>Obudowa</w:t>
            </w:r>
          </w:p>
        </w:tc>
        <w:tc>
          <w:tcPr>
            <w:tcW w:w="3811" w:type="pct"/>
          </w:tcPr>
          <w:p w14:paraId="23BF2F36" w14:textId="36D4720D" w:rsidR="009B13D4" w:rsidRPr="00F72535" w:rsidRDefault="005A3726" w:rsidP="000045F2">
            <w:r w:rsidRPr="00F72535">
              <w:t>Typu Tower, o sumie wymiarów nieprzekraczającej 1075</w:t>
            </w:r>
            <w:r w:rsidR="006B4D72">
              <w:t xml:space="preserve"> </w:t>
            </w:r>
            <w:r w:rsidRPr="00F72535">
              <w:t>mm oraz wadze nieprzekraczającej 20</w:t>
            </w:r>
            <w:r w:rsidR="006B4D72">
              <w:t xml:space="preserve"> </w:t>
            </w:r>
            <w:r w:rsidRPr="00F72535">
              <w:t xml:space="preserve">kg według karty katalogowej producenta. </w:t>
            </w:r>
          </w:p>
          <w:p w14:paraId="6A0B2405" w14:textId="77777777" w:rsidR="00A10979" w:rsidRPr="00F72535" w:rsidRDefault="005A3726">
            <w:r w:rsidRPr="00F72535">
              <w:t>Obudowa umożliwiająca montaż minimum trzech dysków HDD 3,5”.</w:t>
            </w:r>
          </w:p>
          <w:p w14:paraId="1C3B3A7E" w14:textId="57657375" w:rsidR="009B13D4" w:rsidRPr="00F72535" w:rsidRDefault="009B13D4">
            <w:r w:rsidRPr="00F72535">
              <w:t xml:space="preserve">Wbudowany głośnik o mocy min. 1,5W </w:t>
            </w:r>
          </w:p>
          <w:p w14:paraId="3C8CF094" w14:textId="5258D8E4" w:rsidR="009B13D4" w:rsidRPr="00F72535" w:rsidRDefault="009B13D4">
            <w:r w:rsidRPr="00F72535">
              <w:t>System dźwiękowy umożliwiający zdiagnozowanie błędów w zakresie:</w:t>
            </w:r>
          </w:p>
          <w:p w14:paraId="05F63FA0" w14:textId="77777777" w:rsidR="009B13D4" w:rsidRPr="00F72535" w:rsidRDefault="009B13D4">
            <w:r w:rsidRPr="00F72535">
              <w:lastRenderedPageBreak/>
              <w:t>- pamięci DRAM</w:t>
            </w:r>
          </w:p>
          <w:p w14:paraId="52F39924" w14:textId="77777777" w:rsidR="009B13D4" w:rsidRPr="00F72535" w:rsidRDefault="009B13D4">
            <w:r w:rsidRPr="00F72535">
              <w:t>- karty graficznej</w:t>
            </w:r>
          </w:p>
          <w:p w14:paraId="1D60F300" w14:textId="6646E6DF" w:rsidR="005A3726" w:rsidRPr="00F72535" w:rsidRDefault="009B13D4">
            <w:r w:rsidRPr="00F72535">
              <w:t>- innych błędów POST</w:t>
            </w:r>
          </w:p>
          <w:p w14:paraId="2B570784" w14:textId="23A602B2" w:rsidR="005A3726" w:rsidRPr="00F72535" w:rsidRDefault="009B13D4">
            <w:r w:rsidRPr="00F72535">
              <w:t>Dioda LED na przednim panelu, sygnalizująca działanie komputera.</w:t>
            </w:r>
          </w:p>
          <w:p w14:paraId="44C8157D" w14:textId="55B7B640" w:rsidR="009B13D4" w:rsidRPr="00F72535" w:rsidRDefault="009B13D4">
            <w:r w:rsidRPr="00F72535">
              <w:t xml:space="preserve">Czujnik </w:t>
            </w:r>
            <w:r w:rsidRPr="00F72535">
              <w:rPr>
                <w:color w:val="000000" w:themeColor="text1"/>
              </w:rPr>
              <w:t>otwarcia obudowy wraz z zestawem zamka z unikatowym kluczem.</w:t>
            </w:r>
          </w:p>
          <w:p w14:paraId="4B40E9AC" w14:textId="2979B1D9" w:rsidR="005A3726" w:rsidRPr="00F72535" w:rsidRDefault="005A3726">
            <w:r w:rsidRPr="00F72535">
              <w:t>Zintegrowany z obudową wyświetlacz LCD umieszczony na jej przednim panelu, umożliwiający zdiagnozowanie problemów z jednostką na podstawie wyświetlanego kodu QR lub sygnatury napotkanego błędu.</w:t>
            </w:r>
          </w:p>
          <w:p w14:paraId="1451390A" w14:textId="77777777" w:rsidR="005A3726" w:rsidRPr="00F72535" w:rsidRDefault="005A3726" w:rsidP="005F70BF">
            <w:r w:rsidRPr="00F72535">
              <w:t>Obudowa trwale oznaczona nazwą producenta, nazwą komputera, numerem MTM, PN, numerem seryjnym</w:t>
            </w:r>
          </w:p>
        </w:tc>
      </w:tr>
      <w:tr w:rsidR="005A3726" w:rsidRPr="00F72535" w14:paraId="2B693A31" w14:textId="77777777" w:rsidTr="005F3552">
        <w:trPr>
          <w:trHeight w:val="284"/>
        </w:trPr>
        <w:tc>
          <w:tcPr>
            <w:tcW w:w="249" w:type="pct"/>
          </w:tcPr>
          <w:p w14:paraId="7CA36BF8" w14:textId="77777777" w:rsidR="005A3726" w:rsidRPr="00F72535" w:rsidRDefault="005A3726" w:rsidP="004B6C04"/>
        </w:tc>
        <w:tc>
          <w:tcPr>
            <w:tcW w:w="940" w:type="pct"/>
          </w:tcPr>
          <w:p w14:paraId="24720CF8" w14:textId="77777777" w:rsidR="005A3726" w:rsidRPr="00F72535" w:rsidRDefault="005A3726" w:rsidP="000045F2">
            <w:r w:rsidRPr="00F72535">
              <w:t>Chipset</w:t>
            </w:r>
          </w:p>
        </w:tc>
        <w:tc>
          <w:tcPr>
            <w:tcW w:w="3811" w:type="pct"/>
          </w:tcPr>
          <w:p w14:paraId="466853F2" w14:textId="77777777" w:rsidR="005A3726" w:rsidRPr="00F72535" w:rsidRDefault="005A3726" w:rsidP="000045F2">
            <w:r w:rsidRPr="00F72535">
              <w:t>Dostosowany do zaoferowanego procesora</w:t>
            </w:r>
          </w:p>
        </w:tc>
      </w:tr>
      <w:tr w:rsidR="005A3726" w:rsidRPr="00F72535" w14:paraId="67B922C9" w14:textId="77777777" w:rsidTr="005F3552">
        <w:trPr>
          <w:trHeight w:val="284"/>
        </w:trPr>
        <w:tc>
          <w:tcPr>
            <w:tcW w:w="249" w:type="pct"/>
          </w:tcPr>
          <w:p w14:paraId="7EEA2404" w14:textId="77777777" w:rsidR="005A3726" w:rsidRPr="00F72535" w:rsidRDefault="005A3726" w:rsidP="004B6C04"/>
        </w:tc>
        <w:tc>
          <w:tcPr>
            <w:tcW w:w="940" w:type="pct"/>
          </w:tcPr>
          <w:p w14:paraId="7774B2D3" w14:textId="77777777" w:rsidR="005A3726" w:rsidRPr="00F72535" w:rsidRDefault="005A3726" w:rsidP="000045F2">
            <w:r w:rsidRPr="00F72535">
              <w:t>Płyta główna</w:t>
            </w:r>
          </w:p>
        </w:tc>
        <w:tc>
          <w:tcPr>
            <w:tcW w:w="3811" w:type="pct"/>
          </w:tcPr>
          <w:p w14:paraId="52FD2EC7" w14:textId="77777777" w:rsidR="005A3726" w:rsidRPr="00A62F23" w:rsidRDefault="005A3726" w:rsidP="000045F2">
            <w:r w:rsidRPr="00A62F23">
              <w:t>Zaprojektowana i wyprodukowana przez producenta komputera, trwale oznaczona nazwą producenta komputera (na etapie produkcji). Płyta główna wyposażona w złącza:</w:t>
            </w:r>
          </w:p>
          <w:p w14:paraId="55F8784F" w14:textId="77777777" w:rsidR="005A3726" w:rsidRPr="00A62F23" w:rsidRDefault="005A3726">
            <w:r w:rsidRPr="00A62F23">
              <w:t>- min. 3x SATA 3.0</w:t>
            </w:r>
          </w:p>
          <w:p w14:paraId="4653E7FB" w14:textId="77777777" w:rsidR="00234438" w:rsidRPr="00A62F23" w:rsidRDefault="005A3726">
            <w:r w:rsidRPr="00A62F23">
              <w:t xml:space="preserve">- min. 2x złącze M.2, obsługujące dyski </w:t>
            </w:r>
            <w:proofErr w:type="spellStart"/>
            <w:r w:rsidRPr="00A62F23">
              <w:t>PCIe</w:t>
            </w:r>
            <w:proofErr w:type="spellEnd"/>
            <w:r w:rsidRPr="00A62F23">
              <w:t xml:space="preserve">. </w:t>
            </w:r>
          </w:p>
          <w:p w14:paraId="382C5DBE" w14:textId="46C9C9EA" w:rsidR="005A3726" w:rsidRPr="00A62F23" w:rsidRDefault="005A3726">
            <w:r w:rsidRPr="00A62F23">
              <w:t xml:space="preserve">Zawierająca następujące gniazda </w:t>
            </w:r>
            <w:proofErr w:type="spellStart"/>
            <w:r w:rsidRPr="00A62F23">
              <w:t>PCIe</w:t>
            </w:r>
            <w:proofErr w:type="spellEnd"/>
            <w:r w:rsidRPr="00A62F23">
              <w:t xml:space="preserve"> dla kart wyłącznie o pełnym profilu:</w:t>
            </w:r>
          </w:p>
          <w:p w14:paraId="19152335" w14:textId="77777777" w:rsidR="005A3726" w:rsidRPr="00A62F23" w:rsidRDefault="005A3726">
            <w:r w:rsidRPr="00A62F23">
              <w:t xml:space="preserve">- 2x </w:t>
            </w:r>
            <w:proofErr w:type="spellStart"/>
            <w:r w:rsidRPr="00A62F23">
              <w:t>PCIe</w:t>
            </w:r>
            <w:proofErr w:type="spellEnd"/>
            <w:r w:rsidRPr="00A62F23">
              <w:t xml:space="preserve"> 5.0 x16</w:t>
            </w:r>
          </w:p>
          <w:p w14:paraId="5AF47248" w14:textId="77777777" w:rsidR="005A3726" w:rsidRPr="00A62F23" w:rsidRDefault="005A3726">
            <w:r w:rsidRPr="00A62F23">
              <w:t xml:space="preserve">- 3x </w:t>
            </w:r>
            <w:proofErr w:type="spellStart"/>
            <w:r w:rsidRPr="00A62F23">
              <w:t>PCIe</w:t>
            </w:r>
            <w:proofErr w:type="spellEnd"/>
            <w:r w:rsidRPr="00A62F23">
              <w:t xml:space="preserve"> 4.0 x4</w:t>
            </w:r>
          </w:p>
          <w:p w14:paraId="0D609A42" w14:textId="77777777" w:rsidR="005A3726" w:rsidRPr="00A62F23" w:rsidRDefault="005A3726">
            <w:r w:rsidRPr="00A62F23">
              <w:t xml:space="preserve">- 1x </w:t>
            </w:r>
            <w:proofErr w:type="spellStart"/>
            <w:r w:rsidRPr="00A62F23">
              <w:t>PCIe</w:t>
            </w:r>
            <w:proofErr w:type="spellEnd"/>
            <w:r w:rsidRPr="00A62F23">
              <w:t xml:space="preserve"> 4.0 x8</w:t>
            </w:r>
          </w:p>
          <w:p w14:paraId="6ED11FAD" w14:textId="2F0BA1FE" w:rsidR="003007D0" w:rsidRPr="00A62F23" w:rsidRDefault="00742FBA">
            <w:r w:rsidRPr="00A62F23">
              <w:t>Min. 8 slotów na pamięć RAM, obsługa do 512GB pamięci operacyjnej</w:t>
            </w:r>
          </w:p>
        </w:tc>
      </w:tr>
      <w:tr w:rsidR="005A3726" w:rsidRPr="00F72535" w14:paraId="025D7C69" w14:textId="77777777" w:rsidTr="005F3552">
        <w:trPr>
          <w:trHeight w:val="284"/>
        </w:trPr>
        <w:tc>
          <w:tcPr>
            <w:tcW w:w="249" w:type="pct"/>
          </w:tcPr>
          <w:p w14:paraId="44786B6F" w14:textId="77777777" w:rsidR="005A3726" w:rsidRPr="00F72535" w:rsidRDefault="005A3726" w:rsidP="004B6C04"/>
        </w:tc>
        <w:tc>
          <w:tcPr>
            <w:tcW w:w="940" w:type="pct"/>
          </w:tcPr>
          <w:p w14:paraId="5ABE692C" w14:textId="77777777" w:rsidR="005A3726" w:rsidRPr="00F72535" w:rsidRDefault="005A3726" w:rsidP="000045F2">
            <w:r w:rsidRPr="00F72535">
              <w:t>Procesor</w:t>
            </w:r>
          </w:p>
        </w:tc>
        <w:tc>
          <w:tcPr>
            <w:tcW w:w="3811" w:type="pct"/>
          </w:tcPr>
          <w:p w14:paraId="6F330F60" w14:textId="653BC461" w:rsidR="00D961A1" w:rsidRPr="00A62F23" w:rsidRDefault="005A3726" w:rsidP="000045F2">
            <w:r w:rsidRPr="00A62F23">
              <w:t xml:space="preserve">Procesor </w:t>
            </w:r>
            <w:r w:rsidR="00794AD6" w:rsidRPr="00A62F23">
              <w:t xml:space="preserve">klasy </w:t>
            </w:r>
            <w:r w:rsidR="00742FBA" w:rsidRPr="00A62F23">
              <w:t xml:space="preserve">x64 </w:t>
            </w:r>
            <w:r w:rsidRPr="00A62F23">
              <w:t xml:space="preserve">do zastosowań profesjonalnych, zaprojektowany do pracy w stacjach roboczych, </w:t>
            </w:r>
            <w:r w:rsidR="00794AD6" w:rsidRPr="00A62F23">
              <w:t xml:space="preserve">zawierający co najmniej 10 rdzeni i obsługujący </w:t>
            </w:r>
            <w:r w:rsidR="00D21731" w:rsidRPr="00A62F23">
              <w:t>co najmniej</w:t>
            </w:r>
            <w:r w:rsidR="00794AD6" w:rsidRPr="00A62F23">
              <w:t xml:space="preserve"> 20 wątków. </w:t>
            </w:r>
          </w:p>
          <w:p w14:paraId="666F049E" w14:textId="06059FFC" w:rsidR="00D961A1" w:rsidRPr="00A62F23" w:rsidRDefault="00D961A1">
            <w:r w:rsidRPr="00A62F23">
              <w:t xml:space="preserve">Procesor </w:t>
            </w:r>
            <w:r w:rsidR="00234438" w:rsidRPr="00A62F23">
              <w:t xml:space="preserve">musi </w:t>
            </w:r>
            <w:r w:rsidRPr="00A62F23">
              <w:t>obsług</w:t>
            </w:r>
            <w:r w:rsidR="00234438" w:rsidRPr="00A62F23">
              <w:t>iwać</w:t>
            </w:r>
            <w:r w:rsidRPr="00A62F23">
              <w:t xml:space="preserve"> pamięć RAM ECC oraz posiada</w:t>
            </w:r>
            <w:r w:rsidR="00234438" w:rsidRPr="00A62F23">
              <w:t>ć</w:t>
            </w:r>
            <w:r w:rsidRPr="00A62F23">
              <w:t xml:space="preserve"> min. </w:t>
            </w:r>
            <w:r w:rsidR="003007D0" w:rsidRPr="00A62F23">
              <w:t>26</w:t>
            </w:r>
            <w:r w:rsidRPr="00A62F23">
              <w:t xml:space="preserve"> MB pamięci cache L3.</w:t>
            </w:r>
          </w:p>
          <w:p w14:paraId="02EDCE6C" w14:textId="597D8C07" w:rsidR="003007D0" w:rsidRPr="00A62F23" w:rsidRDefault="00794AD6">
            <w:r w:rsidRPr="00A62F23">
              <w:t>W</w:t>
            </w:r>
            <w:r w:rsidR="005A3726" w:rsidRPr="00A62F23">
              <w:t>ydajnoś</w:t>
            </w:r>
            <w:r w:rsidRPr="00A62F23">
              <w:t>ć procesora</w:t>
            </w:r>
            <w:r w:rsidR="005A3726" w:rsidRPr="00A62F23">
              <w:t xml:space="preserve"> liczon</w:t>
            </w:r>
            <w:r w:rsidRPr="00A62F23">
              <w:t>a</w:t>
            </w:r>
            <w:r w:rsidR="005A3726" w:rsidRPr="00A62F23">
              <w:t xml:space="preserve"> w punktach</w:t>
            </w:r>
            <w:r w:rsidR="005F5BF3">
              <w:t>,</w:t>
            </w:r>
            <w:r w:rsidR="005A3726" w:rsidRPr="00A62F23">
              <w:t xml:space="preserve"> równ</w:t>
            </w:r>
            <w:r w:rsidRPr="00A62F23">
              <w:t>a</w:t>
            </w:r>
            <w:r w:rsidR="005A3726" w:rsidRPr="00A62F23">
              <w:t xml:space="preserve"> lub wyższ</w:t>
            </w:r>
            <w:r w:rsidRPr="00A62F23">
              <w:t>a</w:t>
            </w:r>
            <w:r w:rsidR="005A3726" w:rsidRPr="00A62F23">
              <w:t xml:space="preserve"> </w:t>
            </w:r>
            <w:r w:rsidR="003007D0" w:rsidRPr="00A62F23">
              <w:t>32</w:t>
            </w:r>
            <w:r w:rsidR="00F83CA6">
              <w:t>2</w:t>
            </w:r>
            <w:r w:rsidR="003007D0" w:rsidRPr="00A62F23">
              <w:t>00 pkt (</w:t>
            </w:r>
            <w:proofErr w:type="spellStart"/>
            <w:r w:rsidR="003007D0" w:rsidRPr="00A62F23">
              <w:t>Multithread</w:t>
            </w:r>
            <w:proofErr w:type="spellEnd"/>
            <w:r w:rsidR="003007D0" w:rsidRPr="00A62F23">
              <w:t xml:space="preserve"> Rating) i co najmniej 3</w:t>
            </w:r>
            <w:r w:rsidR="00F83CA6">
              <w:t>374</w:t>
            </w:r>
            <w:r w:rsidR="003007D0" w:rsidRPr="00A62F23">
              <w:t xml:space="preserve"> pkt (Single </w:t>
            </w:r>
            <w:proofErr w:type="spellStart"/>
            <w:r w:rsidR="003007D0" w:rsidRPr="00A62F23">
              <w:t>Tread</w:t>
            </w:r>
            <w:proofErr w:type="spellEnd"/>
            <w:r w:rsidR="003007D0" w:rsidRPr="00A62F23">
              <w:t xml:space="preserve"> </w:t>
            </w:r>
            <w:r w:rsidR="00A20B7E" w:rsidRPr="00A62F23">
              <w:t>R</w:t>
            </w:r>
            <w:r w:rsidR="003007D0" w:rsidRPr="00A62F23">
              <w:t>ating)</w:t>
            </w:r>
            <w:r w:rsidR="005A3726" w:rsidRPr="00A62F23">
              <w:t xml:space="preserve"> na podstawie </w:t>
            </w:r>
            <w:proofErr w:type="spellStart"/>
            <w:r w:rsidR="005A3726" w:rsidRPr="00A62F23">
              <w:t>PerformanceTest</w:t>
            </w:r>
            <w:proofErr w:type="spellEnd"/>
            <w:r w:rsidR="005A3726" w:rsidRPr="00A62F23">
              <w:t xml:space="preserve"> w teście CPU Mark według wyników </w:t>
            </w:r>
            <w:proofErr w:type="spellStart"/>
            <w:r w:rsidR="005A3726" w:rsidRPr="00A62F23">
              <w:t>Avarage</w:t>
            </w:r>
            <w:proofErr w:type="spellEnd"/>
            <w:r w:rsidR="005A3726" w:rsidRPr="00A62F23">
              <w:t xml:space="preserve"> CPU Mark opublikowanych na http://www.cpubenchmark.net/. </w:t>
            </w:r>
          </w:p>
          <w:p w14:paraId="55D5B3BF" w14:textId="7814B0D7" w:rsidR="005A3726" w:rsidRPr="00A62F23" w:rsidRDefault="005A3726">
            <w:r w:rsidRPr="00A62F23">
              <w:t>Wykonawca w składanej ofercie winien podać dokładny model oferowanego podzespołu.</w:t>
            </w:r>
          </w:p>
        </w:tc>
      </w:tr>
      <w:tr w:rsidR="005A3726" w:rsidRPr="00F72535" w14:paraId="6B93EAE7" w14:textId="77777777" w:rsidTr="005F3552">
        <w:trPr>
          <w:trHeight w:val="284"/>
        </w:trPr>
        <w:tc>
          <w:tcPr>
            <w:tcW w:w="249" w:type="pct"/>
          </w:tcPr>
          <w:p w14:paraId="577A6956" w14:textId="77777777" w:rsidR="005A3726" w:rsidRPr="00F72535" w:rsidRDefault="005A3726" w:rsidP="004B6C04"/>
        </w:tc>
        <w:tc>
          <w:tcPr>
            <w:tcW w:w="940" w:type="pct"/>
          </w:tcPr>
          <w:p w14:paraId="0E27F3FF" w14:textId="77777777" w:rsidR="005A3726" w:rsidRPr="00F72535" w:rsidRDefault="005A3726" w:rsidP="000045F2">
            <w:r w:rsidRPr="00F72535">
              <w:t>Pamięć operacyjna</w:t>
            </w:r>
          </w:p>
        </w:tc>
        <w:tc>
          <w:tcPr>
            <w:tcW w:w="3811" w:type="pct"/>
          </w:tcPr>
          <w:p w14:paraId="72E8E486" w14:textId="0A392EB8" w:rsidR="005A3726" w:rsidRPr="00EA620D" w:rsidRDefault="003007D0" w:rsidP="000045F2">
            <w:r w:rsidRPr="00EA620D">
              <w:t xml:space="preserve">Zainstalowane </w:t>
            </w:r>
            <w:r w:rsidR="005A3726" w:rsidRPr="00EA620D">
              <w:t xml:space="preserve">64GB, </w:t>
            </w:r>
            <w:r w:rsidR="002A4EDC" w:rsidRPr="00EA620D">
              <w:t>w 2 modułach</w:t>
            </w:r>
            <w:r w:rsidR="00172B6A" w:rsidRPr="00EA620D">
              <w:t>. Pamięć musi obsługiwać korekcję błędów (ECC). Taktowanie i typ pamięci muszą być dostosowane do zastosowanego procesora.</w:t>
            </w:r>
          </w:p>
        </w:tc>
      </w:tr>
      <w:tr w:rsidR="005A3726" w:rsidRPr="00F72535" w14:paraId="028407AC" w14:textId="77777777" w:rsidTr="005F3552">
        <w:trPr>
          <w:trHeight w:val="284"/>
        </w:trPr>
        <w:tc>
          <w:tcPr>
            <w:tcW w:w="249" w:type="pct"/>
          </w:tcPr>
          <w:p w14:paraId="24A7946F" w14:textId="77777777" w:rsidR="005A3726" w:rsidRPr="00F72535" w:rsidRDefault="005A3726" w:rsidP="004B6C04"/>
        </w:tc>
        <w:tc>
          <w:tcPr>
            <w:tcW w:w="940" w:type="pct"/>
          </w:tcPr>
          <w:p w14:paraId="4BF62B2F" w14:textId="408118FC" w:rsidR="005A3726" w:rsidRPr="00EA620D" w:rsidRDefault="005A3726" w:rsidP="000045F2">
            <w:r w:rsidRPr="00EA620D">
              <w:t>Dysk</w:t>
            </w:r>
            <w:r w:rsidR="00376BD9" w:rsidRPr="00EA620D">
              <w:t>i</w:t>
            </w:r>
            <w:r w:rsidRPr="00EA620D">
              <w:t xml:space="preserve"> tward</w:t>
            </w:r>
            <w:r w:rsidR="00376BD9" w:rsidRPr="00EA620D">
              <w:t>e</w:t>
            </w:r>
          </w:p>
        </w:tc>
        <w:tc>
          <w:tcPr>
            <w:tcW w:w="3811" w:type="pct"/>
          </w:tcPr>
          <w:p w14:paraId="03BAFA35" w14:textId="3BCE603F" w:rsidR="00376BD9" w:rsidRPr="00EA620D" w:rsidRDefault="00376BD9" w:rsidP="000045F2">
            <w:r w:rsidRPr="00EA620D">
              <w:t>Zainstalowane dwa dyski:</w:t>
            </w:r>
          </w:p>
          <w:p w14:paraId="31CB22E4" w14:textId="0490D670" w:rsidR="005A3726" w:rsidRPr="00EA620D" w:rsidRDefault="00376BD9" w:rsidP="00C621B0">
            <w:pPr>
              <w:pStyle w:val="Akapitzlist"/>
              <w:numPr>
                <w:ilvl w:val="0"/>
                <w:numId w:val="5"/>
              </w:numPr>
            </w:pPr>
            <w:r w:rsidRPr="00EA620D">
              <w:t xml:space="preserve">512 GB SSD M.2 2280 </w:t>
            </w:r>
            <w:proofErr w:type="spellStart"/>
            <w:r w:rsidRPr="00EA620D">
              <w:t>PCIe</w:t>
            </w:r>
            <w:proofErr w:type="spellEnd"/>
            <w:r w:rsidRPr="00EA620D">
              <w:t xml:space="preserve"> Gen. 4</w:t>
            </w:r>
          </w:p>
          <w:p w14:paraId="300E808C" w14:textId="43081E61" w:rsidR="00376BD9" w:rsidRPr="00EA620D" w:rsidRDefault="00376BD9" w:rsidP="00C621B0">
            <w:pPr>
              <w:pStyle w:val="Akapitzlist"/>
              <w:numPr>
                <w:ilvl w:val="0"/>
                <w:numId w:val="5"/>
              </w:numPr>
            </w:pPr>
            <w:r w:rsidRPr="00EA620D">
              <w:t xml:space="preserve">HDD 2 TB, </w:t>
            </w:r>
            <w:r w:rsidR="003B35AB" w:rsidRPr="00EA620D">
              <w:t xml:space="preserve">, z pamięcią podręczną min. 128 MB, o prędkości obrotowej nie mniejszej niż </w:t>
            </w:r>
            <w:r w:rsidR="0020320F" w:rsidRPr="00EA620D">
              <w:t>7</w:t>
            </w:r>
            <w:r w:rsidRPr="00EA620D">
              <w:t xml:space="preserve">200 </w:t>
            </w:r>
            <w:proofErr w:type="spellStart"/>
            <w:r w:rsidRPr="00EA620D">
              <w:t>obr</w:t>
            </w:r>
            <w:proofErr w:type="spellEnd"/>
            <w:r w:rsidRPr="00EA620D">
              <w:t>/min</w:t>
            </w:r>
            <w:r w:rsidR="00D52152" w:rsidRPr="00EA620D">
              <w:t>,</w:t>
            </w:r>
            <w:r w:rsidRPr="00EA620D">
              <w:t xml:space="preserve"> </w:t>
            </w:r>
            <w:r w:rsidR="003B35AB" w:rsidRPr="00EA620D">
              <w:t xml:space="preserve">w obudowie </w:t>
            </w:r>
            <w:r w:rsidRPr="00EA620D">
              <w:t xml:space="preserve">3,5” </w:t>
            </w:r>
            <w:proofErr w:type="spellStart"/>
            <w:r w:rsidRPr="00EA620D">
              <w:t>interface</w:t>
            </w:r>
            <w:proofErr w:type="spellEnd"/>
            <w:r w:rsidRPr="00EA620D">
              <w:t xml:space="preserve"> SATA 3.0</w:t>
            </w:r>
          </w:p>
          <w:p w14:paraId="734393A5" w14:textId="08B3E304" w:rsidR="00234438" w:rsidRPr="00EA620D" w:rsidRDefault="00234438" w:rsidP="000045F2">
            <w:r w:rsidRPr="00EA620D">
              <w:t>Wykonawca w składanej ofercie winien podać dokładny model oferowanego podzespołu.</w:t>
            </w:r>
          </w:p>
        </w:tc>
      </w:tr>
      <w:tr w:rsidR="005A3726" w:rsidRPr="00F72535" w14:paraId="436CC7DF" w14:textId="77777777" w:rsidTr="005F3552">
        <w:trPr>
          <w:trHeight w:val="284"/>
        </w:trPr>
        <w:tc>
          <w:tcPr>
            <w:tcW w:w="249" w:type="pct"/>
          </w:tcPr>
          <w:p w14:paraId="1E270629" w14:textId="77777777" w:rsidR="005A3726" w:rsidRPr="00F72535" w:rsidRDefault="005A3726" w:rsidP="004B6C04"/>
        </w:tc>
        <w:tc>
          <w:tcPr>
            <w:tcW w:w="940" w:type="pct"/>
          </w:tcPr>
          <w:p w14:paraId="5A2420F9" w14:textId="77777777" w:rsidR="005A3726" w:rsidRPr="00EA620D" w:rsidRDefault="005A3726" w:rsidP="000045F2">
            <w:r w:rsidRPr="00EA620D">
              <w:t>Karta graficzna</w:t>
            </w:r>
          </w:p>
        </w:tc>
        <w:tc>
          <w:tcPr>
            <w:tcW w:w="3811" w:type="pct"/>
          </w:tcPr>
          <w:p w14:paraId="1AF4752D" w14:textId="76CEBDAB" w:rsidR="00D90130" w:rsidRPr="00EA620D" w:rsidRDefault="002A4EDC" w:rsidP="005F70BF">
            <w:r w:rsidRPr="00EA620D">
              <w:t xml:space="preserve">Karta graficzna z linii kart profesjonalnych </w:t>
            </w:r>
            <w:r w:rsidR="009C17CA" w:rsidRPr="00EA620D">
              <w:t xml:space="preserve">serii </w:t>
            </w:r>
            <w:r w:rsidRPr="00EA620D">
              <w:t xml:space="preserve">RTX </w:t>
            </w:r>
            <w:proofErr w:type="spellStart"/>
            <w:r w:rsidRPr="00EA620D">
              <w:t>Axxxx</w:t>
            </w:r>
            <w:proofErr w:type="spellEnd"/>
            <w:r w:rsidRPr="00EA620D">
              <w:t xml:space="preserve"> ze złączem </w:t>
            </w:r>
            <w:proofErr w:type="spellStart"/>
            <w:r w:rsidRPr="00EA620D">
              <w:t>PCIe</w:t>
            </w:r>
            <w:proofErr w:type="spellEnd"/>
            <w:r w:rsidRPr="00EA620D">
              <w:t xml:space="preserve"> 4.0 x16, pamięć karty graficznej min 16384 MB taktowana zegarem </w:t>
            </w:r>
            <w:r w:rsidR="00172B6A" w:rsidRPr="00EA620D">
              <w:t xml:space="preserve">min. </w:t>
            </w:r>
            <w:r w:rsidRPr="00EA620D">
              <w:t xml:space="preserve">1750 MHz, min 1344 rdzenie taktowane zegarem </w:t>
            </w:r>
            <w:r w:rsidR="00172B6A" w:rsidRPr="00EA620D">
              <w:t xml:space="preserve">min. </w:t>
            </w:r>
            <w:r w:rsidRPr="00EA620D">
              <w:t xml:space="preserve">800MHz ze wsparciem dla DirectX 12.4 i </w:t>
            </w:r>
            <w:proofErr w:type="spellStart"/>
            <w:r w:rsidRPr="00EA620D">
              <w:t>OpenGL</w:t>
            </w:r>
            <w:proofErr w:type="spellEnd"/>
            <w:r w:rsidRPr="00EA620D">
              <w:t xml:space="preserve"> 4.6. </w:t>
            </w:r>
            <w:r w:rsidR="00C64D48" w:rsidRPr="00EA620D">
              <w:t xml:space="preserve">Maksymalny pobór energii karty powinien wynosić do </w:t>
            </w:r>
            <w:r w:rsidR="004E21E3" w:rsidRPr="00EA620D">
              <w:t>145</w:t>
            </w:r>
            <w:r w:rsidR="00C64D48" w:rsidRPr="00EA620D">
              <w:t xml:space="preserve"> W.</w:t>
            </w:r>
          </w:p>
          <w:p w14:paraId="3F3C2777" w14:textId="4071D1F8" w:rsidR="00A20B7E" w:rsidRPr="00EA620D" w:rsidRDefault="00D90130" w:rsidP="005F70BF">
            <w:r w:rsidRPr="00EA620D">
              <w:t>Karta musi osiągać wyniki nie mniejszy niż 19</w:t>
            </w:r>
            <w:r w:rsidR="00F83CA6">
              <w:t>3</w:t>
            </w:r>
            <w:r w:rsidRPr="00EA620D">
              <w:t>00 pkt w teście wydajności Kart Graficznych (wynik umieszczony na stronie: https://www.videocardbenchmark.net/high_end_gpus.html).</w:t>
            </w:r>
          </w:p>
          <w:p w14:paraId="59273B91" w14:textId="24F52C84" w:rsidR="002A4EDC" w:rsidRPr="00EA620D" w:rsidRDefault="002A4EDC" w:rsidP="005F70BF">
            <w:r w:rsidRPr="00EA620D">
              <w:lastRenderedPageBreak/>
              <w:t xml:space="preserve">Karta graficzna musi posiadać min. 4x </w:t>
            </w:r>
            <w:r w:rsidR="00172B6A" w:rsidRPr="00EA620D">
              <w:t xml:space="preserve">pełnowymiarowe </w:t>
            </w:r>
            <w:r w:rsidRPr="00EA620D">
              <w:t>złącz</w:t>
            </w:r>
            <w:r w:rsidR="00172B6A" w:rsidRPr="00EA620D">
              <w:t>a</w:t>
            </w:r>
            <w:r w:rsidRPr="00EA620D">
              <w:t xml:space="preserve"> </w:t>
            </w:r>
            <w:proofErr w:type="spellStart"/>
            <w:r w:rsidRPr="00EA620D">
              <w:t>DisplayPort</w:t>
            </w:r>
            <w:proofErr w:type="spellEnd"/>
            <w:r w:rsidR="00A20B7E" w:rsidRPr="00EA620D">
              <w:t>.</w:t>
            </w:r>
            <w:r w:rsidR="00172B6A" w:rsidRPr="00EA620D">
              <w:t xml:space="preserve"> W przypadku zastosowania złączy </w:t>
            </w:r>
            <w:proofErr w:type="spellStart"/>
            <w:r w:rsidR="00172B6A" w:rsidRPr="00EA620D">
              <w:t>miniDisplayPort</w:t>
            </w:r>
            <w:proofErr w:type="spellEnd"/>
            <w:r w:rsidR="00172B6A" w:rsidRPr="00EA620D">
              <w:t xml:space="preserve"> Wykonawca dostarczy odpowiednie przejściówki w ilości równej ilości złącz karty.</w:t>
            </w:r>
          </w:p>
          <w:p w14:paraId="5125193E" w14:textId="6CB97B53" w:rsidR="002A4EDC" w:rsidRPr="00EA620D" w:rsidRDefault="002A4EDC" w:rsidP="005F70BF"/>
          <w:p w14:paraId="460D7525" w14:textId="3EFDA2FA" w:rsidR="00D21731" w:rsidRPr="00EA620D" w:rsidRDefault="002A4EDC" w:rsidP="000045F2">
            <w:r w:rsidRPr="00EA620D">
              <w:t xml:space="preserve">Zainstalowane i dołączone na nośniku certyfikowane przez </w:t>
            </w:r>
            <w:proofErr w:type="spellStart"/>
            <w:r w:rsidRPr="00EA620D">
              <w:t>Autodesk</w:t>
            </w:r>
            <w:proofErr w:type="spellEnd"/>
            <w:r w:rsidRPr="00EA620D">
              <w:t xml:space="preserve"> (dla aplikacji 3D Studio Max) sterowniki i oprogramowanie zarządzające.</w:t>
            </w:r>
            <w:r w:rsidR="005A3726" w:rsidRPr="00EA620D">
              <w:t xml:space="preserve"> </w:t>
            </w:r>
          </w:p>
          <w:p w14:paraId="1710226B" w14:textId="77777777" w:rsidR="00DE2B7E" w:rsidRPr="00EA620D" w:rsidRDefault="00DE2B7E" w:rsidP="000045F2"/>
          <w:p w14:paraId="3FC9FFF2" w14:textId="2B46613F" w:rsidR="005A3726" w:rsidRPr="00EA620D" w:rsidRDefault="005A3726">
            <w:r w:rsidRPr="00EA620D">
              <w:t>Wykonawca w składanej ofercie winien podać dokładny model oferowanego podzespołu.</w:t>
            </w:r>
          </w:p>
        </w:tc>
      </w:tr>
      <w:tr w:rsidR="005A3726" w:rsidRPr="00F72535" w14:paraId="73FB3F51" w14:textId="77777777" w:rsidTr="005F3552">
        <w:trPr>
          <w:trHeight w:val="284"/>
        </w:trPr>
        <w:tc>
          <w:tcPr>
            <w:tcW w:w="249" w:type="pct"/>
          </w:tcPr>
          <w:p w14:paraId="3F3C9180" w14:textId="77777777" w:rsidR="005A3726" w:rsidRPr="00F72535" w:rsidRDefault="005A3726" w:rsidP="004B6C04"/>
        </w:tc>
        <w:tc>
          <w:tcPr>
            <w:tcW w:w="940" w:type="pct"/>
          </w:tcPr>
          <w:p w14:paraId="11A6AD06" w14:textId="77777777" w:rsidR="005A3726" w:rsidRPr="00F72535" w:rsidRDefault="005A3726" w:rsidP="000045F2">
            <w:r w:rsidRPr="00F72535">
              <w:t>Audio</w:t>
            </w:r>
          </w:p>
        </w:tc>
        <w:tc>
          <w:tcPr>
            <w:tcW w:w="3811" w:type="pct"/>
          </w:tcPr>
          <w:p w14:paraId="42488AA2" w14:textId="77777777" w:rsidR="005A3726" w:rsidRPr="00F72535" w:rsidRDefault="005A3726" w:rsidP="000045F2">
            <w:r w:rsidRPr="00F72535">
              <w:t xml:space="preserve">Karta dźwiękowa zintegrowana z płytą główną, zgodna z High Definition. </w:t>
            </w:r>
          </w:p>
        </w:tc>
      </w:tr>
      <w:tr w:rsidR="005A3726" w:rsidRPr="00F72535" w14:paraId="72EB867C" w14:textId="77777777" w:rsidTr="005F3552">
        <w:trPr>
          <w:trHeight w:val="284"/>
        </w:trPr>
        <w:tc>
          <w:tcPr>
            <w:tcW w:w="249" w:type="pct"/>
          </w:tcPr>
          <w:p w14:paraId="08B8F7CC" w14:textId="77777777" w:rsidR="005A3726" w:rsidRPr="00F72535" w:rsidRDefault="005A3726" w:rsidP="004B6C04"/>
        </w:tc>
        <w:tc>
          <w:tcPr>
            <w:tcW w:w="940" w:type="pct"/>
          </w:tcPr>
          <w:p w14:paraId="3B06F9D8" w14:textId="77777777" w:rsidR="005A3726" w:rsidRPr="00F72535" w:rsidRDefault="005A3726" w:rsidP="000045F2">
            <w:r w:rsidRPr="00F72535">
              <w:t>Sieć</w:t>
            </w:r>
          </w:p>
        </w:tc>
        <w:tc>
          <w:tcPr>
            <w:tcW w:w="3811" w:type="pct"/>
          </w:tcPr>
          <w:p w14:paraId="15AB97CE" w14:textId="104A0CAB" w:rsidR="005A3726" w:rsidRPr="00F72535" w:rsidRDefault="005A3726" w:rsidP="000045F2">
            <w:r w:rsidRPr="00F72535">
              <w:t xml:space="preserve">Karta sieciowa LAN </w:t>
            </w:r>
            <w:r w:rsidR="00A10979" w:rsidRPr="00F72535">
              <w:t xml:space="preserve">zintegrowana z płytą główną </w:t>
            </w:r>
            <w:r w:rsidRPr="00F72535">
              <w:t>obsługująca prędkości 10/100/1000</w:t>
            </w:r>
            <w:r w:rsidR="009B13D4" w:rsidRPr="00F72535">
              <w:t xml:space="preserve"> </w:t>
            </w:r>
            <w:proofErr w:type="spellStart"/>
            <w:r w:rsidR="009B13D4" w:rsidRPr="00F72535">
              <w:t>Mbps</w:t>
            </w:r>
            <w:proofErr w:type="spellEnd"/>
            <w:r w:rsidR="00F72535" w:rsidRPr="00F72535">
              <w:t>,</w:t>
            </w:r>
            <w:r w:rsidRPr="00F72535">
              <w:t xml:space="preserve"> z obsługą Wake-on-LAN</w:t>
            </w:r>
          </w:p>
        </w:tc>
      </w:tr>
      <w:tr w:rsidR="005A3726" w:rsidRPr="00F72535" w14:paraId="1784CE43" w14:textId="77777777" w:rsidTr="005F3552">
        <w:trPr>
          <w:trHeight w:val="284"/>
        </w:trPr>
        <w:tc>
          <w:tcPr>
            <w:tcW w:w="249" w:type="pct"/>
          </w:tcPr>
          <w:p w14:paraId="50933C48" w14:textId="77777777" w:rsidR="005A3726" w:rsidRPr="00F72535" w:rsidRDefault="005A3726" w:rsidP="004B6C04"/>
        </w:tc>
        <w:tc>
          <w:tcPr>
            <w:tcW w:w="940" w:type="pct"/>
          </w:tcPr>
          <w:p w14:paraId="3B7C6C19" w14:textId="77777777" w:rsidR="005A3726" w:rsidRPr="00F72535" w:rsidRDefault="005A3726" w:rsidP="000045F2">
            <w:r w:rsidRPr="00F72535">
              <w:t>Porty/złącza</w:t>
            </w:r>
          </w:p>
        </w:tc>
        <w:tc>
          <w:tcPr>
            <w:tcW w:w="3811" w:type="pct"/>
          </w:tcPr>
          <w:p w14:paraId="2F4BE209" w14:textId="77777777" w:rsidR="005A3726" w:rsidRPr="00F72535" w:rsidRDefault="005A3726" w:rsidP="000045F2">
            <w:bookmarkStart w:id="0" w:name="_Hlk150506561"/>
            <w:r w:rsidRPr="00F72535">
              <w:t>Z przodu obudowy:</w:t>
            </w:r>
          </w:p>
          <w:p w14:paraId="0D2B3CC7" w14:textId="77777777" w:rsidR="005A3726" w:rsidRPr="00F72535" w:rsidRDefault="005A3726">
            <w:r w:rsidRPr="00F72535">
              <w:t xml:space="preserve">- 1x port słuchawkowo-mikrofonowy typu </w:t>
            </w:r>
            <w:proofErr w:type="spellStart"/>
            <w:r w:rsidRPr="00F72535">
              <w:t>combo</w:t>
            </w:r>
            <w:proofErr w:type="spellEnd"/>
          </w:p>
          <w:p w14:paraId="1FE30F71" w14:textId="20D8D78C" w:rsidR="009B13D4" w:rsidRPr="00D21299" w:rsidRDefault="009B13D4">
            <w:pPr>
              <w:rPr>
                <w:lang w:val="en-US"/>
              </w:rPr>
            </w:pPr>
            <w:r w:rsidRPr="00D21299">
              <w:rPr>
                <w:color w:val="555555"/>
                <w:shd w:val="clear" w:color="auto" w:fill="F8F8F8"/>
                <w:lang w:val="en-US"/>
              </w:rPr>
              <w:t xml:space="preserve">- </w:t>
            </w:r>
            <w:r w:rsidRPr="00D21299">
              <w:rPr>
                <w:lang w:val="en-US"/>
              </w:rPr>
              <w:t>2 x USB-A 3.2 Gen 2 (10Gbps, 1 x always-on charging)</w:t>
            </w:r>
          </w:p>
          <w:bookmarkEnd w:id="0"/>
          <w:p w14:paraId="4EC75909" w14:textId="453BDF54" w:rsidR="005A3726" w:rsidRPr="00D21299" w:rsidRDefault="009B13D4">
            <w:pPr>
              <w:rPr>
                <w:lang w:val="en-US"/>
              </w:rPr>
            </w:pPr>
            <w:r w:rsidRPr="00D21299">
              <w:rPr>
                <w:lang w:val="en-US"/>
              </w:rPr>
              <w:t>- 2 x USB-C 3.2 Gen 2 (10Gbps)</w:t>
            </w:r>
          </w:p>
          <w:p w14:paraId="50AF97B1" w14:textId="77777777" w:rsidR="005A3726" w:rsidRPr="00F72535" w:rsidRDefault="005A3726">
            <w:r w:rsidRPr="00F72535">
              <w:t>Z tyłu obudowy:</w:t>
            </w:r>
          </w:p>
          <w:p w14:paraId="7B5B50F1" w14:textId="77777777" w:rsidR="005A3726" w:rsidRPr="00F72535" w:rsidRDefault="005A3726">
            <w:r w:rsidRPr="00F72535">
              <w:t>- 5x USB typu A w tym min. 3x USB 3.2 Generacji 2</w:t>
            </w:r>
          </w:p>
          <w:p w14:paraId="793D201D" w14:textId="77777777" w:rsidR="005A3726" w:rsidRPr="00F72535" w:rsidRDefault="005A3726">
            <w:r w:rsidRPr="00F72535">
              <w:t>- 1x USB 3.2 Generacji 2x2 typu C</w:t>
            </w:r>
          </w:p>
          <w:p w14:paraId="3905EE66" w14:textId="77777777" w:rsidR="005A3726" w:rsidRPr="00F72535" w:rsidRDefault="005A3726">
            <w:pPr>
              <w:rPr>
                <w:lang w:val="en-US"/>
              </w:rPr>
            </w:pPr>
            <w:r w:rsidRPr="00F72535">
              <w:rPr>
                <w:lang w:val="en-US"/>
              </w:rPr>
              <w:t xml:space="preserve">- port </w:t>
            </w:r>
            <w:proofErr w:type="spellStart"/>
            <w:r w:rsidRPr="00F72535">
              <w:rPr>
                <w:lang w:val="en-US"/>
              </w:rPr>
              <w:t>sieciowy</w:t>
            </w:r>
            <w:proofErr w:type="spellEnd"/>
            <w:r w:rsidRPr="00F72535">
              <w:rPr>
                <w:lang w:val="en-US"/>
              </w:rPr>
              <w:t xml:space="preserve"> RJ-45</w:t>
            </w:r>
          </w:p>
          <w:p w14:paraId="33978E41" w14:textId="77777777" w:rsidR="005A3726" w:rsidRPr="00F72535" w:rsidRDefault="005A3726">
            <w:pPr>
              <w:rPr>
                <w:lang w:val="en-US"/>
              </w:rPr>
            </w:pPr>
            <w:r w:rsidRPr="00F72535">
              <w:rPr>
                <w:lang w:val="en-US"/>
              </w:rPr>
              <w:t>- port audio line-out 3,5mm</w:t>
            </w:r>
          </w:p>
          <w:p w14:paraId="58392D3A" w14:textId="24F37FDF" w:rsidR="005A3726" w:rsidRPr="00D21299" w:rsidRDefault="005A3726">
            <w:r w:rsidRPr="00D21299">
              <w:t xml:space="preserve">- port audio </w:t>
            </w:r>
            <w:proofErr w:type="spellStart"/>
            <w:r w:rsidRPr="00D21299">
              <w:t>line</w:t>
            </w:r>
            <w:proofErr w:type="spellEnd"/>
            <w:r w:rsidRPr="00D21299">
              <w:t>-in 3,5mm</w:t>
            </w:r>
          </w:p>
          <w:p w14:paraId="2488ED34" w14:textId="77777777" w:rsidR="005A3726" w:rsidRPr="00F72535" w:rsidRDefault="005A3726">
            <w:r w:rsidRPr="00F72535">
              <w:t>Wymagana ilość i rozmieszczenie (na zewnątrz obudowy komputera) portów USB nie może być osiągnięta w wyniku stosowania konwerterów, przejściówek itp.</w:t>
            </w:r>
          </w:p>
          <w:p w14:paraId="3400A348" w14:textId="6F18F18F" w:rsidR="005A3726" w:rsidRPr="00F72535" w:rsidRDefault="00A10979" w:rsidP="005F70BF">
            <w:r w:rsidRPr="00F72535">
              <w:t xml:space="preserve">Czytnik kart pamięci obsługujący </w:t>
            </w:r>
            <w:r w:rsidR="0015435A" w:rsidRPr="00F72535">
              <w:t>co najmniej</w:t>
            </w:r>
            <w:r w:rsidRPr="00F72535">
              <w:t xml:space="preserve"> karty SD i Compact</w:t>
            </w:r>
            <w:r w:rsidR="0015435A" w:rsidRPr="00F72535">
              <w:t xml:space="preserve"> </w:t>
            </w:r>
            <w:proofErr w:type="spellStart"/>
            <w:r w:rsidRPr="00F72535">
              <w:t>Falsh</w:t>
            </w:r>
            <w:proofErr w:type="spellEnd"/>
            <w:r w:rsidR="0015435A" w:rsidRPr="00F72535">
              <w:t xml:space="preserve"> wszystkich typów.</w:t>
            </w:r>
          </w:p>
        </w:tc>
      </w:tr>
      <w:tr w:rsidR="005A3726" w:rsidRPr="00F72535" w14:paraId="2878AD27" w14:textId="77777777" w:rsidTr="005F3552">
        <w:trPr>
          <w:trHeight w:val="284"/>
        </w:trPr>
        <w:tc>
          <w:tcPr>
            <w:tcW w:w="249" w:type="pct"/>
          </w:tcPr>
          <w:p w14:paraId="5CE9904B" w14:textId="77777777" w:rsidR="005A3726" w:rsidRPr="00F72535" w:rsidRDefault="005A3726" w:rsidP="004B6C04"/>
        </w:tc>
        <w:tc>
          <w:tcPr>
            <w:tcW w:w="940" w:type="pct"/>
          </w:tcPr>
          <w:p w14:paraId="075170AE" w14:textId="77777777" w:rsidR="005A3726" w:rsidRPr="00F72535" w:rsidRDefault="005A3726" w:rsidP="000045F2">
            <w:r w:rsidRPr="00F72535">
              <w:t>Zasilacz</w:t>
            </w:r>
          </w:p>
        </w:tc>
        <w:tc>
          <w:tcPr>
            <w:tcW w:w="3811" w:type="pct"/>
          </w:tcPr>
          <w:p w14:paraId="5A5C781C" w14:textId="77777777" w:rsidR="005A3726" w:rsidRPr="00F72535" w:rsidRDefault="005A3726" w:rsidP="000045F2">
            <w:r w:rsidRPr="00F72535">
              <w:rPr>
                <w:color w:val="000000"/>
              </w:rPr>
              <w:t>Energooszczędny zasilacz o mocy nie mniejszej niż 1000W oraz sprawności na poziomie min. 92% posiadający certyfikat 80 PLUS Platinum.</w:t>
            </w:r>
          </w:p>
        </w:tc>
      </w:tr>
      <w:tr w:rsidR="005A3726" w:rsidRPr="00F72535" w14:paraId="27560D2B" w14:textId="77777777" w:rsidTr="005F3552">
        <w:trPr>
          <w:trHeight w:val="284"/>
        </w:trPr>
        <w:tc>
          <w:tcPr>
            <w:tcW w:w="249" w:type="pct"/>
          </w:tcPr>
          <w:p w14:paraId="389788FC" w14:textId="77777777" w:rsidR="005A3726" w:rsidRPr="00F72535" w:rsidRDefault="005A3726" w:rsidP="004B6C04"/>
        </w:tc>
        <w:tc>
          <w:tcPr>
            <w:tcW w:w="940" w:type="pct"/>
          </w:tcPr>
          <w:p w14:paraId="286F00E4" w14:textId="139FD5C3" w:rsidR="005A3726" w:rsidRPr="00F72535" w:rsidRDefault="001D39A0" w:rsidP="000045F2">
            <w:r w:rsidRPr="00F72535">
              <w:t>Klawiatura</w:t>
            </w:r>
          </w:p>
        </w:tc>
        <w:tc>
          <w:tcPr>
            <w:tcW w:w="3811" w:type="pct"/>
          </w:tcPr>
          <w:p w14:paraId="45820065" w14:textId="3C2F2CDC" w:rsidR="005A3726" w:rsidRPr="00F72535" w:rsidRDefault="00A20B7E" w:rsidP="000045F2">
            <w:pPr>
              <w:rPr>
                <w:color w:val="000000"/>
              </w:rPr>
            </w:pPr>
            <w:r w:rsidRPr="00F72535">
              <w:t xml:space="preserve">Przewodowa USB typu QWERTY w układzie międzynarodowym w klasycznym układzie (z klawiszami funkcyjnymi F1-F12, wydzielonym blokiem numerycznym, wydzielonym blokiem kursorów, wydzielonym blokiem klawiszy Insert, Home, Del, End, </w:t>
            </w:r>
            <w:proofErr w:type="spellStart"/>
            <w:r w:rsidRPr="00F72535">
              <w:t>PgUp</w:t>
            </w:r>
            <w:proofErr w:type="spellEnd"/>
            <w:r w:rsidRPr="00F72535">
              <w:t xml:space="preserve">, </w:t>
            </w:r>
            <w:proofErr w:type="spellStart"/>
            <w:r w:rsidRPr="00F72535">
              <w:t>PgDn</w:t>
            </w:r>
            <w:proofErr w:type="spellEnd"/>
            <w:r w:rsidRPr="00F72535">
              <w:t xml:space="preserve">), Wytrzymała i odporna na zalanie. Typ </w:t>
            </w:r>
            <w:proofErr w:type="spellStart"/>
            <w:r w:rsidRPr="00F72535">
              <w:t>Plug&amp;Play</w:t>
            </w:r>
            <w:proofErr w:type="spellEnd"/>
            <w:r w:rsidRPr="00F72535">
              <w:t>. Bez klawiszy specjalnych i multimedialnych.</w:t>
            </w:r>
          </w:p>
        </w:tc>
      </w:tr>
      <w:tr w:rsidR="001D39A0" w:rsidRPr="00F72535" w14:paraId="1F87AAB1" w14:textId="77777777" w:rsidTr="005F3552">
        <w:trPr>
          <w:trHeight w:val="284"/>
        </w:trPr>
        <w:tc>
          <w:tcPr>
            <w:tcW w:w="249" w:type="pct"/>
          </w:tcPr>
          <w:p w14:paraId="4CF81DBA" w14:textId="77777777" w:rsidR="001D39A0" w:rsidRPr="00F72535" w:rsidRDefault="001D39A0" w:rsidP="004B6C04"/>
        </w:tc>
        <w:tc>
          <w:tcPr>
            <w:tcW w:w="940" w:type="pct"/>
          </w:tcPr>
          <w:p w14:paraId="65993F69" w14:textId="368ED70C" w:rsidR="001D39A0" w:rsidRPr="00F72535" w:rsidRDefault="00A20B7E" w:rsidP="000045F2">
            <w:r w:rsidRPr="00F72535">
              <w:t>Mysz</w:t>
            </w:r>
          </w:p>
        </w:tc>
        <w:tc>
          <w:tcPr>
            <w:tcW w:w="3811" w:type="pct"/>
          </w:tcPr>
          <w:p w14:paraId="43228CFD" w14:textId="29CF15CE" w:rsidR="001D39A0" w:rsidRPr="00F72535" w:rsidRDefault="00A20B7E" w:rsidP="000045F2">
            <w:pPr>
              <w:rPr>
                <w:color w:val="000000"/>
              </w:rPr>
            </w:pPr>
            <w:r w:rsidRPr="00F72535">
              <w:t xml:space="preserve">Min. dwuklawiszowa, bezprzewodowa, z rolką, laserowa, rozdzielczość minimum 1000 </w:t>
            </w:r>
            <w:proofErr w:type="spellStart"/>
            <w:r w:rsidRPr="00F72535">
              <w:t>dpi</w:t>
            </w:r>
            <w:proofErr w:type="spellEnd"/>
            <w:r w:rsidRPr="00F72535">
              <w:t>, praca bez dodatkowych podkładek.</w:t>
            </w:r>
          </w:p>
        </w:tc>
      </w:tr>
      <w:tr w:rsidR="005A3726" w:rsidRPr="00F72535" w14:paraId="4A9054BF" w14:textId="77777777" w:rsidTr="005F3552">
        <w:trPr>
          <w:trHeight w:val="284"/>
        </w:trPr>
        <w:tc>
          <w:tcPr>
            <w:tcW w:w="249" w:type="pct"/>
          </w:tcPr>
          <w:p w14:paraId="2B43E25F" w14:textId="77777777" w:rsidR="005A3726" w:rsidRPr="00F72535" w:rsidRDefault="005A3726" w:rsidP="004B6C04"/>
        </w:tc>
        <w:tc>
          <w:tcPr>
            <w:tcW w:w="940" w:type="pct"/>
          </w:tcPr>
          <w:p w14:paraId="66500F61" w14:textId="77777777" w:rsidR="005A3726" w:rsidRPr="00F72535" w:rsidRDefault="005A3726" w:rsidP="000045F2">
            <w:r w:rsidRPr="00F72535">
              <w:t>System operacyjny</w:t>
            </w:r>
          </w:p>
        </w:tc>
        <w:tc>
          <w:tcPr>
            <w:tcW w:w="3811" w:type="pct"/>
          </w:tcPr>
          <w:p w14:paraId="29F090D3" w14:textId="718CF796" w:rsidR="000F2B61" w:rsidRPr="00F72535" w:rsidRDefault="000F2B61" w:rsidP="000045F2">
            <w:pPr>
              <w:rPr>
                <w:spacing w:val="-4"/>
              </w:rPr>
            </w:pPr>
            <w:r w:rsidRPr="00F72535">
              <w:rPr>
                <w:spacing w:val="-4"/>
              </w:rPr>
              <w:t>MS Windows 11 Professional PL 64bit OEM dedykowany dla stacji roboczych m lub równoważny. Wykonawca dostarczy nośnik(i) z systemem operacyjnym w wersji instalacyjnej + sterowniki podzespołów. Obraz systemu musi być preinstalowany na pierwszy</w:t>
            </w:r>
            <w:r w:rsidR="00E05200">
              <w:rPr>
                <w:spacing w:val="-4"/>
              </w:rPr>
              <w:t>m</w:t>
            </w:r>
            <w:r w:rsidRPr="00F72535">
              <w:rPr>
                <w:spacing w:val="-4"/>
              </w:rPr>
              <w:t xml:space="preserve"> logicznie dysku twardym (tu: dysk SSD 512 GB) bez tworzenia użytkowników.</w:t>
            </w:r>
          </w:p>
          <w:p w14:paraId="5C3DCCB0" w14:textId="5B3561AA" w:rsidR="000F2B61" w:rsidRPr="00F72535" w:rsidRDefault="000F2B61">
            <w:r w:rsidRPr="00F72535">
              <w:t>Licencje na korzystanie z Oprogramowania zostaną udzielone na warunkach określonych w Postanowieniach licencyjnych Producenta oprogramowania</w:t>
            </w:r>
          </w:p>
          <w:p w14:paraId="253B3FE1" w14:textId="77777777" w:rsidR="001D39A0" w:rsidRPr="00F72535" w:rsidRDefault="001D39A0">
            <w:r w:rsidRPr="00F72535">
              <w:t xml:space="preserve">Opis równoważności: </w:t>
            </w:r>
          </w:p>
          <w:p w14:paraId="6D0E5C00" w14:textId="77777777" w:rsidR="001D39A0" w:rsidRPr="00F72535" w:rsidRDefault="001D39A0" w:rsidP="005F70BF">
            <w:r w:rsidRPr="00F72535">
              <w:t xml:space="preserve">1. umożliwia integrację z posiadanym przez Zamawiającego systemem Active Directory pozwalającej na wdrożenie jednolitej polityki bezpieczeństwa dla wszystkich komputerów w sieci; </w:t>
            </w:r>
          </w:p>
          <w:p w14:paraId="5AEC4DDB" w14:textId="77777777" w:rsidR="001D39A0" w:rsidRPr="00F72535" w:rsidRDefault="001D39A0" w:rsidP="005F70BF">
            <w:r w:rsidRPr="00F72535">
              <w:t xml:space="preserve">2. umożliwia zdalną automatyczną instalację, konfigurację, administrowanie oraz aktualizowanie systemu; </w:t>
            </w:r>
          </w:p>
          <w:p w14:paraId="3673AD17" w14:textId="77777777" w:rsidR="001D39A0" w:rsidRPr="00F72535" w:rsidRDefault="001D39A0" w:rsidP="005F70BF">
            <w:r w:rsidRPr="00F72535">
              <w:lastRenderedPageBreak/>
              <w:t xml:space="preserve">3. posiada publicznie znany cykl życia przedstawiony przez producenta i dotyczący rozwoju i wsparcia technicznego – w szczególności w zakresie bezpieczeństwa; </w:t>
            </w:r>
          </w:p>
          <w:p w14:paraId="0EC41FBA" w14:textId="77777777" w:rsidR="001D39A0" w:rsidRPr="00F72535" w:rsidRDefault="001D39A0" w:rsidP="005F70BF">
            <w:r w:rsidRPr="00F72535">
              <w:t xml:space="preserve">4. zapewnia pracę w różnych sieciach komputerowych (sieci lokalne LAN, Internet), w tym także automatyczne rozpoznawanie sieci i ich ustawień bezpieczeństwa; </w:t>
            </w:r>
          </w:p>
          <w:p w14:paraId="1501EA48" w14:textId="77777777" w:rsidR="001D39A0" w:rsidRPr="00F72535" w:rsidRDefault="001D39A0" w:rsidP="005F70BF">
            <w:r w:rsidRPr="00F72535">
              <w:t xml:space="preserve">5. umożliwia automatyczne rozpoznawanie urządzeń peryferyjnych działających w tej sieci (np. drukarki, skanery) oraz automatyczne łączenie z raz zdefiniowanymi sieciami (również za pośrednictwem modemów 3G/USB); </w:t>
            </w:r>
          </w:p>
          <w:p w14:paraId="0585791E" w14:textId="77777777" w:rsidR="001D39A0" w:rsidRPr="00F72535" w:rsidRDefault="001D39A0" w:rsidP="005F70BF">
            <w:r w:rsidRPr="00F72535">
              <w:t xml:space="preserve">6. umożliwia automatyczne zbudowanie obrazu systemu wraz z aplikacjami. Obraz systemu ma służyć do automatycznego upowszechnienia systemu operacyjnego inicjowanego i wykonywanego w całości przez sieć komputerową; </w:t>
            </w:r>
          </w:p>
          <w:p w14:paraId="6C8426C6" w14:textId="77777777" w:rsidR="001D39A0" w:rsidRPr="00F72535" w:rsidRDefault="001D39A0" w:rsidP="005F70BF">
            <w:r w:rsidRPr="00F72535">
              <w:t xml:space="preserve">7. umożliwia wdrożenie nowego obrazu przez zdalną instalację; </w:t>
            </w:r>
          </w:p>
          <w:p w14:paraId="24D06095" w14:textId="77777777" w:rsidR="001D39A0" w:rsidRPr="00F72535" w:rsidRDefault="001D39A0" w:rsidP="005F70BF">
            <w:r w:rsidRPr="00F72535">
              <w:t xml:space="preserve">8. umożliwia udostępnianie i przejmowanie pulpitu zdalnego; </w:t>
            </w:r>
          </w:p>
          <w:p w14:paraId="69160845" w14:textId="77777777" w:rsidR="001D39A0" w:rsidRPr="00F72535" w:rsidRDefault="001D39A0" w:rsidP="005F70BF">
            <w:r w:rsidRPr="00F72535">
              <w:t xml:space="preserve">9. licencja na system operacyjny musi być nieograniczona w czasie, pozwalać na wielokrotne instalowanie systemu na oferowanym sprzęcie; </w:t>
            </w:r>
          </w:p>
          <w:p w14:paraId="0D483E99" w14:textId="77777777" w:rsidR="001D39A0" w:rsidRPr="00F72535" w:rsidRDefault="001D39A0" w:rsidP="005F70BF">
            <w:r w:rsidRPr="00F72535">
              <w:t xml:space="preserve">10. Zamawiający nie dopuszcza w systemie możliwości instalacji dodatkowych narzędzi emulujących działanie systemów; </w:t>
            </w:r>
          </w:p>
          <w:p w14:paraId="47457209" w14:textId="00A9F19F" w:rsidR="001D39A0" w:rsidRPr="00F72535" w:rsidRDefault="001D39A0" w:rsidP="005F70BF">
            <w:r w:rsidRPr="00F72535">
              <w:t xml:space="preserve">11. zapewnia pełną współpracę z aktualnie użytkowanymi aplikacjami informatycznymi m.in. Microsoft Office wersje od 2007 do 2019, Microsoft 365, </w:t>
            </w:r>
            <w:proofErr w:type="spellStart"/>
            <w:r w:rsidRPr="00F72535">
              <w:t>Autodesk</w:t>
            </w:r>
            <w:proofErr w:type="spellEnd"/>
            <w:r w:rsidRPr="00F72535">
              <w:t xml:space="preserve"> </w:t>
            </w:r>
            <w:proofErr w:type="spellStart"/>
            <w:r w:rsidRPr="00F72535">
              <w:t>Infrastructure</w:t>
            </w:r>
            <w:proofErr w:type="spellEnd"/>
            <w:r w:rsidRPr="00F72535">
              <w:t xml:space="preserve"> Design Suit, Adobe Creative </w:t>
            </w:r>
            <w:proofErr w:type="spellStart"/>
            <w:r w:rsidRPr="00F72535">
              <w:t>Cloud</w:t>
            </w:r>
            <w:proofErr w:type="spellEnd"/>
            <w:r w:rsidRPr="00F72535">
              <w:t xml:space="preserve">, systemem wykonywania kopii bezpieczeństwa stacji roboczych </w:t>
            </w:r>
            <w:proofErr w:type="spellStart"/>
            <w:r w:rsidRPr="00F72535">
              <w:t>Veeam</w:t>
            </w:r>
            <w:proofErr w:type="spellEnd"/>
            <w:r w:rsidRPr="00F72535">
              <w:t>, systemem audytu i monitoringu  Elektroniczne Zarządzanie Dokumentem</w:t>
            </w:r>
            <w:r w:rsidR="00A20B7E" w:rsidRPr="00F72535">
              <w:t>.</w:t>
            </w:r>
          </w:p>
          <w:p w14:paraId="3931E7A4" w14:textId="4E348E1F" w:rsidR="005A3726" w:rsidRPr="00F72535" w:rsidRDefault="001D39A0" w:rsidP="005F70BF">
            <w:r w:rsidRPr="00F72535">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r>
      <w:tr w:rsidR="005A3726" w:rsidRPr="00F72535" w14:paraId="7306FDCC"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1E0FF8E2"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65CBB33E" w14:textId="77777777" w:rsidR="005A3726" w:rsidRPr="00F72535" w:rsidRDefault="005A3726" w:rsidP="000045F2">
            <w:r w:rsidRPr="00F72535">
              <w:t xml:space="preserve">BIOS  </w:t>
            </w:r>
          </w:p>
        </w:tc>
        <w:tc>
          <w:tcPr>
            <w:tcW w:w="3811" w:type="pct"/>
            <w:tcBorders>
              <w:top w:val="single" w:sz="4" w:space="0" w:color="auto"/>
              <w:left w:val="single" w:sz="4" w:space="0" w:color="auto"/>
              <w:bottom w:val="single" w:sz="4" w:space="0" w:color="auto"/>
              <w:right w:val="single" w:sz="4" w:space="0" w:color="auto"/>
            </w:tcBorders>
          </w:tcPr>
          <w:p w14:paraId="6E67F219" w14:textId="77777777" w:rsidR="00A20B7E" w:rsidRPr="00F72535" w:rsidRDefault="005A3726" w:rsidP="000045F2">
            <w:r w:rsidRPr="00F72535">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52A833C1" w14:textId="7093BA88" w:rsidR="005A3726" w:rsidRPr="00F72535" w:rsidRDefault="005A3726">
            <w:r w:rsidRPr="00F72535">
              <w:t>- modelu komputera, PN</w:t>
            </w:r>
          </w:p>
          <w:p w14:paraId="19D651FA" w14:textId="77777777" w:rsidR="005A3726" w:rsidRPr="00F72535" w:rsidRDefault="005A3726">
            <w:r w:rsidRPr="00F72535">
              <w:t>- numerze seryjnym,</w:t>
            </w:r>
          </w:p>
          <w:p w14:paraId="4E1395A6" w14:textId="77777777" w:rsidR="005A3726" w:rsidRPr="00F72535" w:rsidRDefault="005A3726">
            <w:r w:rsidRPr="00F72535">
              <w:t>- numerze inwentarzowym (</w:t>
            </w:r>
            <w:proofErr w:type="spellStart"/>
            <w:r w:rsidRPr="00F72535">
              <w:t>AssetTag</w:t>
            </w:r>
            <w:proofErr w:type="spellEnd"/>
            <w:r w:rsidRPr="00F72535">
              <w:t>),</w:t>
            </w:r>
          </w:p>
          <w:p w14:paraId="6060D320" w14:textId="77777777" w:rsidR="005A3726" w:rsidRPr="00F72535" w:rsidRDefault="005A3726">
            <w:r w:rsidRPr="00F72535">
              <w:t>- MAC Adres karty sieciowej,</w:t>
            </w:r>
          </w:p>
          <w:p w14:paraId="7D9059F3" w14:textId="77777777" w:rsidR="005A3726" w:rsidRPr="00F72535" w:rsidRDefault="005A3726">
            <w:r w:rsidRPr="00F72535">
              <w:t>- wersji BIOS,</w:t>
            </w:r>
          </w:p>
          <w:p w14:paraId="25D7ABA0" w14:textId="77777777" w:rsidR="005A3726" w:rsidRPr="00F72535" w:rsidRDefault="005A3726">
            <w:r w:rsidRPr="00F72535">
              <w:t>- dacie produkcji BIOS</w:t>
            </w:r>
          </w:p>
          <w:p w14:paraId="5DDFE5C6" w14:textId="77777777" w:rsidR="005A3726" w:rsidRPr="00F72535" w:rsidRDefault="005A3726">
            <w:r w:rsidRPr="00F72535">
              <w:t>- zainstalowanym procesorze, jego taktowaniu i ilości rdzeni</w:t>
            </w:r>
          </w:p>
          <w:p w14:paraId="717ED629" w14:textId="77777777" w:rsidR="005A3726" w:rsidRPr="00F72535" w:rsidRDefault="005A3726">
            <w:r w:rsidRPr="00F72535">
              <w:t>- ilości pamięci RAM wraz z taktowaniem,</w:t>
            </w:r>
          </w:p>
          <w:p w14:paraId="29EADF0D" w14:textId="77777777" w:rsidR="005A3726" w:rsidRPr="00F72535" w:rsidRDefault="005A3726">
            <w:r w:rsidRPr="00F72535">
              <w:t>- stanie pracy wentylatora</w:t>
            </w:r>
          </w:p>
          <w:p w14:paraId="327BCED0" w14:textId="77777777" w:rsidR="005A3726" w:rsidRPr="00F72535" w:rsidRDefault="005A3726">
            <w:r w:rsidRPr="00F72535">
              <w:t>- dyskach podłączonych do portów M.2 i SATA</w:t>
            </w:r>
          </w:p>
          <w:p w14:paraId="52B9DA47" w14:textId="77777777" w:rsidR="005A3726" w:rsidRPr="00F72535" w:rsidRDefault="005A3726"/>
          <w:p w14:paraId="3EF7B208" w14:textId="77777777" w:rsidR="005A3726" w:rsidRPr="00F72535" w:rsidRDefault="005A3726">
            <w:r w:rsidRPr="00F72535">
              <w:t>Możliwość z poziomu Bios:</w:t>
            </w:r>
          </w:p>
          <w:p w14:paraId="3F75A763" w14:textId="77777777" w:rsidR="005A3726" w:rsidRPr="00F72535" w:rsidRDefault="005A3726">
            <w:r w:rsidRPr="00F72535">
              <w:t>- wyłączenia/włączenia selektywnego (pojedynczo) portów USB zarówno z przodu jak i z tyłu obudowy</w:t>
            </w:r>
          </w:p>
          <w:p w14:paraId="1FA34993" w14:textId="77777777" w:rsidR="005A3726" w:rsidRPr="00F72535" w:rsidRDefault="005A3726">
            <w:r w:rsidRPr="00F72535">
              <w:t>- wyłączenia/włączenia selektywnego (pojedynczego) portów SATA i M.2,</w:t>
            </w:r>
          </w:p>
          <w:p w14:paraId="564A4040" w14:textId="77777777" w:rsidR="005A3726" w:rsidRPr="00F72535" w:rsidRDefault="005A3726">
            <w:r w:rsidRPr="00F72535">
              <w:lastRenderedPageBreak/>
              <w:t>- wyłączenia karty sieciowej,</w:t>
            </w:r>
          </w:p>
          <w:p w14:paraId="798FCBC3" w14:textId="77777777" w:rsidR="005A3726" w:rsidRPr="00F72535" w:rsidRDefault="005A3726">
            <w:r w:rsidRPr="00F72535">
              <w:t>- wyłączenia karty audio</w:t>
            </w:r>
          </w:p>
          <w:p w14:paraId="1C88E2FD" w14:textId="77777777" w:rsidR="005A3726" w:rsidRPr="00F72535" w:rsidRDefault="005A3726">
            <w:r w:rsidRPr="00F72535">
              <w:t>- wyłączenia funkcji Wake on LAN</w:t>
            </w:r>
          </w:p>
          <w:p w14:paraId="4A78D428" w14:textId="77777777" w:rsidR="005A3726" w:rsidRPr="00F72535" w:rsidRDefault="005A3726">
            <w:r w:rsidRPr="00F72535">
              <w:t>- wyłączenia wirtualizacji</w:t>
            </w:r>
          </w:p>
          <w:p w14:paraId="186FF0FA" w14:textId="77777777" w:rsidR="005A3726" w:rsidRPr="00F72535" w:rsidRDefault="005A3726">
            <w:r w:rsidRPr="00F72535">
              <w:t>- wyłączenia modułu TPM</w:t>
            </w:r>
          </w:p>
          <w:p w14:paraId="197C769F" w14:textId="77777777" w:rsidR="005A3726" w:rsidRPr="00F72535" w:rsidRDefault="005A3726">
            <w:r w:rsidRPr="00F72535">
              <w:t>- ustawienia hasła: administratora, Power-On, HDD,</w:t>
            </w:r>
          </w:p>
          <w:p w14:paraId="56DF7665" w14:textId="77777777" w:rsidR="005A3726" w:rsidRPr="00F72535" w:rsidRDefault="005A3726">
            <w:r w:rsidRPr="00F72535">
              <w:t>- wglądu w system zbierania logów z możliwością jego czyszczenia</w:t>
            </w:r>
          </w:p>
          <w:p w14:paraId="55CDE937" w14:textId="77777777" w:rsidR="005A3726" w:rsidRPr="00F72535" w:rsidRDefault="005A3726">
            <w:r w:rsidRPr="00F72535">
              <w:t xml:space="preserve">- </w:t>
            </w:r>
            <w:proofErr w:type="spellStart"/>
            <w:r w:rsidRPr="00F72535">
              <w:t>alertowania</w:t>
            </w:r>
            <w:proofErr w:type="spellEnd"/>
            <w:r w:rsidRPr="00F72535">
              <w:t xml:space="preserve"> zmiany konfiguracji sprzętowej komputera </w:t>
            </w:r>
          </w:p>
          <w:p w14:paraId="5778CBBB" w14:textId="77777777" w:rsidR="005A3726" w:rsidRPr="00F72535" w:rsidRDefault="005A3726">
            <w:r w:rsidRPr="00F72535">
              <w:t>- wyboru trybu uruchomienia komputera po utracie zasilania (włącz, wyłącz, poprzedni stan)</w:t>
            </w:r>
          </w:p>
          <w:p w14:paraId="502C9C39" w14:textId="77777777" w:rsidR="005A3726" w:rsidRPr="00F72535" w:rsidRDefault="005A3726">
            <w:r w:rsidRPr="00F72535">
              <w:t xml:space="preserve">- ustawienia trybu wyłączenia komputera w stan niskiego poboru energii </w:t>
            </w:r>
          </w:p>
          <w:p w14:paraId="5A7227FF" w14:textId="77777777" w:rsidR="005A3726" w:rsidRPr="00F72535" w:rsidRDefault="005A3726">
            <w:r w:rsidRPr="00F72535">
              <w:t xml:space="preserve">- zdefiniowania sekwencji </w:t>
            </w:r>
            <w:proofErr w:type="spellStart"/>
            <w:r w:rsidRPr="00F72535">
              <w:t>bootowania</w:t>
            </w:r>
            <w:proofErr w:type="spellEnd"/>
            <w:r w:rsidRPr="00F72535">
              <w:t xml:space="preserve"> </w:t>
            </w:r>
          </w:p>
          <w:p w14:paraId="78265E92" w14:textId="5B4B5B0E" w:rsidR="005A3726" w:rsidRPr="00F72535" w:rsidRDefault="005A3726">
            <w:r w:rsidRPr="00F72535">
              <w:t>- załadowania optymalnych ustawień Bios</w:t>
            </w:r>
            <w:r w:rsidR="00A20B7E" w:rsidRPr="00F72535">
              <w:t xml:space="preserve"> </w:t>
            </w:r>
            <w:r w:rsidRPr="00F72535">
              <w:t xml:space="preserve">bez uruchamiania systemu operacyjnego z dysku twardego komputera lub innych, podłączonych do niego, urządzeń zewnętrznych. </w:t>
            </w:r>
          </w:p>
        </w:tc>
      </w:tr>
      <w:tr w:rsidR="005A3726" w:rsidRPr="00F72535" w14:paraId="3EC5B1F3"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6E437790"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2D4EC447" w14:textId="77777777" w:rsidR="005A3726" w:rsidRPr="00F72535" w:rsidRDefault="005A3726" w:rsidP="000045F2">
            <w:r w:rsidRPr="00F72535">
              <w:t>Zintegrowany System Diagnostyczny</w:t>
            </w:r>
          </w:p>
        </w:tc>
        <w:tc>
          <w:tcPr>
            <w:tcW w:w="3811" w:type="pct"/>
            <w:tcBorders>
              <w:top w:val="single" w:sz="4" w:space="0" w:color="auto"/>
              <w:left w:val="single" w:sz="4" w:space="0" w:color="auto"/>
              <w:bottom w:val="single" w:sz="4" w:space="0" w:color="auto"/>
              <w:right w:val="single" w:sz="4" w:space="0" w:color="auto"/>
            </w:tcBorders>
          </w:tcPr>
          <w:p w14:paraId="41CCA019" w14:textId="77777777" w:rsidR="005A3726" w:rsidRPr="00F72535" w:rsidRDefault="005A3726" w:rsidP="000045F2">
            <w:r w:rsidRPr="00F72535">
              <w:t>Wizualny system diagnostyczny producenta działający nawet w przypadku uszkodzenia dysku twardego z systemem operacyjnym komputera umożliwiający na wykonanie diagnostyki następujących podzespołów:</w:t>
            </w:r>
          </w:p>
          <w:p w14:paraId="6226C3C9" w14:textId="2816986C" w:rsidR="005A3726" w:rsidRPr="00F72535" w:rsidRDefault="005F70BF" w:rsidP="005F70BF">
            <w:r>
              <w:t xml:space="preserve">- </w:t>
            </w:r>
            <w:r w:rsidR="005A3726" w:rsidRPr="00F72535">
              <w:t xml:space="preserve">test pamięci RAM </w:t>
            </w:r>
          </w:p>
          <w:p w14:paraId="0431D4A8" w14:textId="5183B863" w:rsidR="005A3726" w:rsidRPr="00F72535" w:rsidRDefault="005F70BF" w:rsidP="005F70BF">
            <w:r>
              <w:t xml:space="preserve">- </w:t>
            </w:r>
            <w:r w:rsidR="005A3726" w:rsidRPr="00F72535">
              <w:t>test dysku twardego</w:t>
            </w:r>
          </w:p>
          <w:p w14:paraId="06B7F452" w14:textId="1EBC4566" w:rsidR="005A3726" w:rsidRPr="00F72535" w:rsidRDefault="005F70BF" w:rsidP="005F70BF">
            <w:r>
              <w:t xml:space="preserve">- </w:t>
            </w:r>
            <w:r w:rsidR="005A3726" w:rsidRPr="00F72535">
              <w:t>test magistrali PCI-e</w:t>
            </w:r>
          </w:p>
          <w:p w14:paraId="5A24A59C" w14:textId="72696E1F" w:rsidR="005A3726" w:rsidRPr="00F72535" w:rsidRDefault="005F70BF" w:rsidP="005F70BF">
            <w:r>
              <w:t xml:space="preserve">- </w:t>
            </w:r>
            <w:r w:rsidR="005A3726" w:rsidRPr="00F72535">
              <w:t>test portów USB</w:t>
            </w:r>
          </w:p>
          <w:p w14:paraId="4AF237E0" w14:textId="2312CB07" w:rsidR="005A3726" w:rsidRPr="00F72535" w:rsidRDefault="005F70BF" w:rsidP="005F70BF">
            <w:r>
              <w:t xml:space="preserve">- </w:t>
            </w:r>
            <w:r w:rsidR="005A3726" w:rsidRPr="00F72535">
              <w:t xml:space="preserve">test płyty głównej </w:t>
            </w:r>
          </w:p>
          <w:p w14:paraId="49565CEC" w14:textId="77777777" w:rsidR="005A3726" w:rsidRPr="00F72535" w:rsidRDefault="005A3726" w:rsidP="000045F2">
            <w:r w:rsidRPr="00F72535">
              <w:t>Wizualna lub dźwiękowa sygnalizacja w przypadku uszkodzenia bądź błędów któregokolwiek z powyższych podzespołów komputera.</w:t>
            </w:r>
          </w:p>
          <w:p w14:paraId="1137ADB1" w14:textId="77777777" w:rsidR="005A3726" w:rsidRPr="00F72535" w:rsidRDefault="005A3726" w:rsidP="000045F2">
            <w:r w:rsidRPr="00F72535">
              <w:t>Ponadto system powinien umożliwiać identyfikacje testowanej jednostki i jej komponentów w następującym zakresie:</w:t>
            </w:r>
          </w:p>
          <w:p w14:paraId="200F1E9E" w14:textId="01CC1C3D" w:rsidR="005A3726" w:rsidRPr="00F72535" w:rsidRDefault="005F70BF" w:rsidP="005F70BF">
            <w:r>
              <w:t xml:space="preserve">- </w:t>
            </w:r>
            <w:r w:rsidR="005A3726" w:rsidRPr="00F72535">
              <w:t>PC: Producent, model</w:t>
            </w:r>
          </w:p>
          <w:p w14:paraId="7F165987" w14:textId="163484E8" w:rsidR="005A3726" w:rsidRPr="00F72535" w:rsidRDefault="005F70BF" w:rsidP="005F70BF">
            <w:r>
              <w:t xml:space="preserve">- </w:t>
            </w:r>
            <w:r w:rsidR="005A3726" w:rsidRPr="00F72535">
              <w:t>BIOS: Wersja, data wydania, producent</w:t>
            </w:r>
          </w:p>
          <w:p w14:paraId="177590D9" w14:textId="18A9AE56" w:rsidR="005A3726" w:rsidRPr="00F72535" w:rsidRDefault="005F70BF" w:rsidP="005F70BF">
            <w:r>
              <w:t xml:space="preserve">- </w:t>
            </w:r>
            <w:r w:rsidR="005A3726" w:rsidRPr="00F72535">
              <w:t>Procesor: Nazwa, taktowanie, liczba rdzeni, liczba wątków, pamięć cache L1, L2, L3</w:t>
            </w:r>
          </w:p>
          <w:p w14:paraId="1442919A" w14:textId="6FB08DC7" w:rsidR="005A3726" w:rsidRPr="00F72535" w:rsidRDefault="005F70BF" w:rsidP="005F70BF">
            <w:r>
              <w:t xml:space="preserve">- </w:t>
            </w:r>
            <w:r w:rsidR="005A3726" w:rsidRPr="00F72535">
              <w:t>Pamięć RAM: Ilość zainstalowanej pamięci RAM, producent oraz numer seryjny poszczególnych kości pamięci, taktowanie</w:t>
            </w:r>
          </w:p>
          <w:p w14:paraId="58D88055" w14:textId="3F8984F3" w:rsidR="005A3726" w:rsidRPr="00F72535" w:rsidRDefault="005F70BF" w:rsidP="005F70BF">
            <w:r>
              <w:t xml:space="preserve">- </w:t>
            </w:r>
            <w:r w:rsidR="005A3726" w:rsidRPr="00F72535">
              <w:t xml:space="preserve">Dysk twardy:  model, numer seryjny, wersja </w:t>
            </w:r>
            <w:proofErr w:type="spellStart"/>
            <w:r w:rsidR="005A3726" w:rsidRPr="00F72535">
              <w:t>firmware</w:t>
            </w:r>
            <w:proofErr w:type="spellEnd"/>
            <w:r w:rsidR="005A3726" w:rsidRPr="00F72535">
              <w:t>, pojemność, temperatura pracy, producent</w:t>
            </w:r>
          </w:p>
          <w:p w14:paraId="04C03059" w14:textId="77777777" w:rsidR="005A3726" w:rsidRPr="00F72535" w:rsidRDefault="005A3726" w:rsidP="000045F2">
            <w:r w:rsidRPr="00F72535">
              <w:t>System Diagnostyczny działający nawet w przypadku uszkodzenia dysku twardego z systemem operacyjnym komputera.</w:t>
            </w:r>
          </w:p>
          <w:p w14:paraId="5C0B7649" w14:textId="77777777" w:rsidR="005A3726" w:rsidRPr="00F72535" w:rsidRDefault="005A3726" w:rsidP="000045F2"/>
        </w:tc>
      </w:tr>
      <w:tr w:rsidR="005A3726" w:rsidRPr="00F72535" w14:paraId="0ED40D3B"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4148928A"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182A9B1E" w14:textId="77777777" w:rsidR="005A3726" w:rsidRPr="00F72535" w:rsidRDefault="005A3726" w:rsidP="000045F2">
            <w:r w:rsidRPr="00F72535">
              <w:t>Certyfikaty i standardy</w:t>
            </w:r>
          </w:p>
        </w:tc>
        <w:tc>
          <w:tcPr>
            <w:tcW w:w="3811" w:type="pct"/>
            <w:tcBorders>
              <w:top w:val="single" w:sz="4" w:space="0" w:color="auto"/>
              <w:left w:val="single" w:sz="4" w:space="0" w:color="auto"/>
              <w:bottom w:val="single" w:sz="4" w:space="0" w:color="auto"/>
              <w:right w:val="single" w:sz="4" w:space="0" w:color="auto"/>
            </w:tcBorders>
          </w:tcPr>
          <w:p w14:paraId="358D7F5A" w14:textId="77777777" w:rsidR="005A3726" w:rsidRPr="00F72535" w:rsidRDefault="005A3726" w:rsidP="000045F2">
            <w:r w:rsidRPr="00F72535">
              <w:t>Dla producenta sprzętu</w:t>
            </w:r>
          </w:p>
          <w:p w14:paraId="105B750B" w14:textId="77777777" w:rsidR="005A3726" w:rsidRPr="00F72535" w:rsidRDefault="005A3726">
            <w:r w:rsidRPr="00F72535">
              <w:t>- ISO 9001</w:t>
            </w:r>
          </w:p>
          <w:p w14:paraId="1FA5D634" w14:textId="77777777" w:rsidR="005A3726" w:rsidRPr="00F72535" w:rsidRDefault="005A3726">
            <w:r w:rsidRPr="00F72535">
              <w:t>- ISO 14001</w:t>
            </w:r>
          </w:p>
          <w:p w14:paraId="38174D00" w14:textId="77777777" w:rsidR="005A3726" w:rsidRPr="00F72535" w:rsidRDefault="005A3726">
            <w:r w:rsidRPr="00F72535">
              <w:t>- ISO 50001</w:t>
            </w:r>
          </w:p>
          <w:p w14:paraId="70F1D71B" w14:textId="77777777" w:rsidR="005A3726" w:rsidRPr="00F72535" w:rsidRDefault="005A3726"/>
          <w:p w14:paraId="08D62C69" w14:textId="77777777" w:rsidR="005A3726" w:rsidRPr="00F72535" w:rsidRDefault="005A3726">
            <w:r w:rsidRPr="00F72535">
              <w:t>Dla komputera:</w:t>
            </w:r>
            <w:r w:rsidRPr="00F72535">
              <w:br/>
              <w:t>- ENERGY STAR</w:t>
            </w:r>
          </w:p>
          <w:p w14:paraId="1B726687" w14:textId="77777777" w:rsidR="005A3726" w:rsidRPr="00F72535" w:rsidRDefault="005A3726">
            <w:r w:rsidRPr="00F72535">
              <w:t>- EPEAT min. Gold dla kraju Polska, dostępny na stronie https://www.epeat.net/search-computers-and-displays</w:t>
            </w:r>
            <w:r w:rsidRPr="00F72535">
              <w:br/>
              <w:t>- TCO min. 9.0, dostępne na stronie https://tcocertified.com/product-finder</w:t>
            </w:r>
            <w:r w:rsidRPr="00F72535">
              <w:br/>
              <w:t>- Deklaracja zgodności CE</w:t>
            </w:r>
            <w:r w:rsidRPr="00F72535">
              <w:br/>
              <w:t xml:space="preserve">- Potwierdzenie spełnienia kryteriów środowiskowych, w tym zgodności z </w:t>
            </w:r>
            <w:r w:rsidRPr="00F72535">
              <w:lastRenderedPageBreak/>
              <w:t xml:space="preserve">dyrektywą </w:t>
            </w:r>
            <w:proofErr w:type="spellStart"/>
            <w:r w:rsidRPr="00F72535">
              <w:t>RoHS</w:t>
            </w:r>
            <w:proofErr w:type="spellEnd"/>
            <w:r w:rsidRPr="00F72535">
              <w:t xml:space="preserve"> Unii Europejskiej o eliminacji substancji niebezpiecznych w postaci oświadczenia producenta jednostki</w:t>
            </w:r>
          </w:p>
        </w:tc>
      </w:tr>
      <w:tr w:rsidR="005A3726" w:rsidRPr="00F72535" w14:paraId="3D88B06C"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780C4F25"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0B453FEC" w14:textId="77777777" w:rsidR="005A3726" w:rsidRPr="00F72535" w:rsidRDefault="005A3726" w:rsidP="000045F2">
            <w:r w:rsidRPr="00F72535">
              <w:t>Bezpieczeństwo</w:t>
            </w:r>
          </w:p>
        </w:tc>
        <w:tc>
          <w:tcPr>
            <w:tcW w:w="3811" w:type="pct"/>
            <w:tcBorders>
              <w:top w:val="single" w:sz="4" w:space="0" w:color="auto"/>
              <w:left w:val="single" w:sz="4" w:space="0" w:color="auto"/>
              <w:bottom w:val="single" w:sz="4" w:space="0" w:color="auto"/>
              <w:right w:val="single" w:sz="4" w:space="0" w:color="auto"/>
            </w:tcBorders>
          </w:tcPr>
          <w:p w14:paraId="7AB1EF69" w14:textId="77777777" w:rsidR="005A3726" w:rsidRPr="00F72535" w:rsidRDefault="005A3726" w:rsidP="004B6C04">
            <w:r w:rsidRPr="00F72535">
              <w:t xml:space="preserve">Złącze typu </w:t>
            </w:r>
            <w:proofErr w:type="spellStart"/>
            <w:r w:rsidRPr="00F72535">
              <w:t>Kensington</w:t>
            </w:r>
            <w:proofErr w:type="spellEnd"/>
            <w:r w:rsidRPr="00F72535">
              <w:t xml:space="preserve"> Lock</w:t>
            </w:r>
          </w:p>
          <w:p w14:paraId="173A9592" w14:textId="77777777" w:rsidR="005A3726" w:rsidRPr="00F72535" w:rsidRDefault="005A3726" w:rsidP="004B6C04">
            <w:r w:rsidRPr="00F72535">
              <w:t>Moduł TPM 2.0 z certyfikacją TCG oraz FIPS 140-2</w:t>
            </w:r>
          </w:p>
        </w:tc>
      </w:tr>
      <w:tr w:rsidR="005A3726" w:rsidRPr="00F72535" w14:paraId="6DBF665F"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3FE4E36B"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4AF564F3" w14:textId="77777777" w:rsidR="005A3726" w:rsidRPr="00F72535" w:rsidRDefault="005A3726" w:rsidP="000045F2">
            <w:r w:rsidRPr="00F72535">
              <w:t>Wirtualizacja</w:t>
            </w:r>
          </w:p>
        </w:tc>
        <w:tc>
          <w:tcPr>
            <w:tcW w:w="3811" w:type="pct"/>
            <w:tcBorders>
              <w:top w:val="single" w:sz="4" w:space="0" w:color="auto"/>
              <w:left w:val="single" w:sz="4" w:space="0" w:color="auto"/>
              <w:bottom w:val="single" w:sz="4" w:space="0" w:color="auto"/>
              <w:right w:val="single" w:sz="4" w:space="0" w:color="auto"/>
            </w:tcBorders>
          </w:tcPr>
          <w:p w14:paraId="432E9964" w14:textId="77777777" w:rsidR="005A3726" w:rsidRPr="00F72535" w:rsidRDefault="005A3726" w:rsidP="000045F2">
            <w:r w:rsidRPr="00F72535">
              <w:t>Sprzętowe wsparcie technologii wirtualizacji procesorów, pamięci i urządzeń I/O realizowane łącznie w procesorze, chipsecie płyty głównej oraz w BIOS systemu (możliwość włączenia/wyłączenia sprzętowego wsparcia wirtualizacji.</w:t>
            </w:r>
          </w:p>
        </w:tc>
      </w:tr>
      <w:tr w:rsidR="005A3726" w:rsidRPr="00F72535" w14:paraId="74F015F7"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62C72A91"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0DB8F7C9" w14:textId="77777777" w:rsidR="005A3726" w:rsidRPr="00F72535" w:rsidRDefault="005A3726" w:rsidP="000045F2">
            <w:r w:rsidRPr="00F72535">
              <w:t>Oprogramowanie</w:t>
            </w:r>
          </w:p>
        </w:tc>
        <w:tc>
          <w:tcPr>
            <w:tcW w:w="3811" w:type="pct"/>
            <w:tcBorders>
              <w:top w:val="single" w:sz="4" w:space="0" w:color="auto"/>
              <w:left w:val="single" w:sz="4" w:space="0" w:color="auto"/>
              <w:bottom w:val="single" w:sz="4" w:space="0" w:color="auto"/>
              <w:right w:val="single" w:sz="4" w:space="0" w:color="auto"/>
            </w:tcBorders>
          </w:tcPr>
          <w:p w14:paraId="0C069E35" w14:textId="77777777" w:rsidR="005A3726" w:rsidRPr="00F72535" w:rsidRDefault="005A3726" w:rsidP="000045F2">
            <w:pPr>
              <w:rPr>
                <w:highlight w:val="yellow"/>
              </w:rPr>
            </w:pPr>
            <w:r w:rsidRPr="00F72535">
              <w:t>Dedykowane oprogramowanie producenta sprzętu umożliwiające automatyczna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bez ingerencji użytkownika.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tc>
      </w:tr>
      <w:tr w:rsidR="005A3726" w:rsidRPr="00F72535" w14:paraId="31655975" w14:textId="77777777" w:rsidTr="005F3552">
        <w:trPr>
          <w:trHeight w:val="284"/>
        </w:trPr>
        <w:tc>
          <w:tcPr>
            <w:tcW w:w="249" w:type="pct"/>
            <w:tcBorders>
              <w:top w:val="single" w:sz="4" w:space="0" w:color="auto"/>
              <w:left w:val="single" w:sz="4" w:space="0" w:color="auto"/>
              <w:bottom w:val="single" w:sz="4" w:space="0" w:color="auto"/>
              <w:right w:val="single" w:sz="4" w:space="0" w:color="auto"/>
            </w:tcBorders>
          </w:tcPr>
          <w:p w14:paraId="3987A635" w14:textId="77777777" w:rsidR="005A3726" w:rsidRPr="00F72535" w:rsidRDefault="005A3726" w:rsidP="004B6C04"/>
        </w:tc>
        <w:tc>
          <w:tcPr>
            <w:tcW w:w="940" w:type="pct"/>
            <w:tcBorders>
              <w:top w:val="single" w:sz="4" w:space="0" w:color="auto"/>
              <w:left w:val="single" w:sz="4" w:space="0" w:color="auto"/>
              <w:bottom w:val="single" w:sz="4" w:space="0" w:color="auto"/>
              <w:right w:val="single" w:sz="4" w:space="0" w:color="auto"/>
            </w:tcBorders>
          </w:tcPr>
          <w:p w14:paraId="2400144D" w14:textId="77777777" w:rsidR="005A3726" w:rsidRPr="00024322" w:rsidRDefault="005A3726" w:rsidP="000045F2">
            <w:r w:rsidRPr="00024322">
              <w:t>Gwarancja i wsparcie techniczne producenta</w:t>
            </w:r>
          </w:p>
        </w:tc>
        <w:tc>
          <w:tcPr>
            <w:tcW w:w="3811" w:type="pct"/>
            <w:tcBorders>
              <w:top w:val="single" w:sz="4" w:space="0" w:color="auto"/>
              <w:left w:val="single" w:sz="4" w:space="0" w:color="auto"/>
              <w:bottom w:val="single" w:sz="4" w:space="0" w:color="auto"/>
              <w:right w:val="single" w:sz="4" w:space="0" w:color="auto"/>
            </w:tcBorders>
          </w:tcPr>
          <w:p w14:paraId="0F92BFC6" w14:textId="22BD01E9" w:rsidR="00A20B7E" w:rsidRPr="00024322" w:rsidRDefault="005A3726" w:rsidP="000045F2">
            <w:r w:rsidRPr="00024322">
              <w:t>Min</w:t>
            </w:r>
            <w:r w:rsidR="00172B6A" w:rsidRPr="00024322">
              <w:t>imum</w:t>
            </w:r>
            <w:r w:rsidRPr="00024322">
              <w:t xml:space="preserve"> </w:t>
            </w:r>
            <w:r w:rsidR="00172B6A" w:rsidRPr="00024322">
              <w:t xml:space="preserve">36 </w:t>
            </w:r>
            <w:r w:rsidRPr="00024322">
              <w:t xml:space="preserve"> miesięcy świadczona w miejscu użytkowania sprzętu (on-</w:t>
            </w:r>
            <w:proofErr w:type="spellStart"/>
            <w:r w:rsidRPr="00024322">
              <w:t>site</w:t>
            </w:r>
            <w:proofErr w:type="spellEnd"/>
            <w:r w:rsidRPr="00024322">
              <w:t>).</w:t>
            </w:r>
            <w:r w:rsidRPr="00024322">
              <w:br/>
              <w:t>Czas reakcji serwisu – następny dzień roboczy z pozostawieniem dysku twardego w razie awarii u zamawiającego.</w:t>
            </w:r>
          </w:p>
          <w:p w14:paraId="2AAA5C36" w14:textId="05C271C1" w:rsidR="00A20B7E" w:rsidRPr="00024322" w:rsidRDefault="005A3726" w:rsidP="000045F2">
            <w:r w:rsidRPr="00024322">
              <w:t>Firma serwisująca posiadająca certyfikat ISO 9001:2000 na świadczenie usług serwisowych. Serwis urządzeń musi być realizowany przez Producenta lub Autoryzowanego Partnera Serwisowego Producenta.</w:t>
            </w:r>
          </w:p>
          <w:p w14:paraId="321787AB" w14:textId="3631AC43" w:rsidR="005A3726" w:rsidRPr="00024322" w:rsidRDefault="005A3726">
            <w:r w:rsidRPr="00024322">
              <w:t>Dedykowany portal techniczny producenta komputera, wyposażony w funkcję automatycznej identyfikacji urządzenia, umożliwiający Zamawiającemu uzyskanie informacji w zakresie co najmniej:</w:t>
            </w:r>
          </w:p>
          <w:p w14:paraId="4BBC7FB7" w14:textId="77777777" w:rsidR="005A3726" w:rsidRPr="00024322" w:rsidRDefault="005A3726">
            <w:r w:rsidRPr="00024322">
              <w:t xml:space="preserve">- fabrycznej konfiguracji urządzenia, </w:t>
            </w:r>
          </w:p>
          <w:p w14:paraId="197C6C18" w14:textId="77777777" w:rsidR="005A3726" w:rsidRPr="00024322" w:rsidRDefault="005A3726">
            <w:r w:rsidRPr="00024322">
              <w:t xml:space="preserve">- rodzaju gwarancji, </w:t>
            </w:r>
          </w:p>
          <w:p w14:paraId="554B9BAD" w14:textId="77777777" w:rsidR="005A3726" w:rsidRPr="00024322" w:rsidRDefault="005A3726">
            <w:r w:rsidRPr="00024322">
              <w:t xml:space="preserve">- dacie wygaśnięcia gwarancji, </w:t>
            </w:r>
          </w:p>
          <w:p w14:paraId="094BF2BA" w14:textId="77777777" w:rsidR="00A20B7E" w:rsidRPr="00024322" w:rsidRDefault="005A3726">
            <w:r w:rsidRPr="00024322">
              <w:t>- aktualizacjach.</w:t>
            </w:r>
          </w:p>
          <w:p w14:paraId="01BB5571" w14:textId="77777777" w:rsidR="00A20B7E" w:rsidRPr="00024322" w:rsidRDefault="005A3726">
            <w:r w:rsidRPr="00024322">
              <w:t>Zaawansowana pomoc techniczna dostępna przez całą dobę, 365 dni w roku, oferująca wsparcie techniczne dotyczące zarówno sprzętu jak i oprogramowania dostarczonego przez producenta.</w:t>
            </w:r>
          </w:p>
          <w:p w14:paraId="50A01636" w14:textId="5BA5C675" w:rsidR="005A3726" w:rsidRPr="00024322" w:rsidRDefault="005A3726">
            <w:r w:rsidRPr="00024322">
              <w:t>Zgłoszenia serwisowe nadzorowane przez dedykowanych koordynatorów.</w:t>
            </w:r>
          </w:p>
          <w:p w14:paraId="75C5694B" w14:textId="77777777" w:rsidR="005A3726" w:rsidRPr="00024322" w:rsidRDefault="005A3726">
            <w:pPr>
              <w:rPr>
                <w:lang w:val="de-DE"/>
              </w:rPr>
            </w:pPr>
            <w:r w:rsidRPr="00024322">
              <w:t>Zaawansowana diagnostyka urządzenia i oprogramowania dostępna na stronie producenta komputera.</w:t>
            </w:r>
          </w:p>
        </w:tc>
      </w:tr>
    </w:tbl>
    <w:p w14:paraId="1825B70C" w14:textId="77777777" w:rsidR="005A3726" w:rsidRPr="00F72535" w:rsidRDefault="005A3726" w:rsidP="005A3726">
      <w:pPr>
        <w:rPr>
          <w:rFonts w:cs="Calibri"/>
          <w:sz w:val="18"/>
          <w:szCs w:val="18"/>
        </w:rPr>
      </w:pPr>
    </w:p>
    <w:p w14:paraId="2DD05827" w14:textId="09DCC460" w:rsidR="001018E8" w:rsidRPr="00F72535" w:rsidRDefault="001018E8">
      <w:pPr>
        <w:rPr>
          <w:rFonts w:cs="Calibri"/>
        </w:rPr>
      </w:pPr>
    </w:p>
    <w:sectPr w:rsidR="001018E8" w:rsidRPr="00F72535" w:rsidSect="005F3552">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475F66"/>
    <w:multiLevelType w:val="hybridMultilevel"/>
    <w:tmpl w:val="10E0B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0058116">
    <w:abstractNumId w:val="2"/>
  </w:num>
  <w:num w:numId="2" w16cid:durableId="1851942072">
    <w:abstractNumId w:val="3"/>
  </w:num>
  <w:num w:numId="3" w16cid:durableId="1486698732">
    <w:abstractNumId w:val="1"/>
  </w:num>
  <w:num w:numId="4" w16cid:durableId="258217487">
    <w:abstractNumId w:val="0"/>
  </w:num>
  <w:num w:numId="5" w16cid:durableId="1908034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26"/>
    <w:rsid w:val="000045F2"/>
    <w:rsid w:val="00024322"/>
    <w:rsid w:val="00050AF1"/>
    <w:rsid w:val="00056BEE"/>
    <w:rsid w:val="000728D8"/>
    <w:rsid w:val="00084F18"/>
    <w:rsid w:val="000F2B61"/>
    <w:rsid w:val="001018E8"/>
    <w:rsid w:val="0015435A"/>
    <w:rsid w:val="00172B6A"/>
    <w:rsid w:val="0018518A"/>
    <w:rsid w:val="00185605"/>
    <w:rsid w:val="001D39A0"/>
    <w:rsid w:val="0020320F"/>
    <w:rsid w:val="002251F0"/>
    <w:rsid w:val="00234438"/>
    <w:rsid w:val="00250056"/>
    <w:rsid w:val="00266150"/>
    <w:rsid w:val="002A4EDC"/>
    <w:rsid w:val="002B4B00"/>
    <w:rsid w:val="002C38F8"/>
    <w:rsid w:val="003007D0"/>
    <w:rsid w:val="003444B0"/>
    <w:rsid w:val="00344836"/>
    <w:rsid w:val="00376BD9"/>
    <w:rsid w:val="0038305F"/>
    <w:rsid w:val="003B35AB"/>
    <w:rsid w:val="003B7BB0"/>
    <w:rsid w:val="003C2C15"/>
    <w:rsid w:val="003E526D"/>
    <w:rsid w:val="00403A51"/>
    <w:rsid w:val="00446B4D"/>
    <w:rsid w:val="004851D1"/>
    <w:rsid w:val="004A00B5"/>
    <w:rsid w:val="004B6C04"/>
    <w:rsid w:val="004D63C2"/>
    <w:rsid w:val="004E21E3"/>
    <w:rsid w:val="004F2AFD"/>
    <w:rsid w:val="00525BB6"/>
    <w:rsid w:val="005A0E4F"/>
    <w:rsid w:val="005A28BF"/>
    <w:rsid w:val="005A35D3"/>
    <w:rsid w:val="005A3726"/>
    <w:rsid w:val="005C6F5F"/>
    <w:rsid w:val="005D6141"/>
    <w:rsid w:val="005F3552"/>
    <w:rsid w:val="005F5BF3"/>
    <w:rsid w:val="005F70BF"/>
    <w:rsid w:val="00652A67"/>
    <w:rsid w:val="006B4125"/>
    <w:rsid w:val="006B4D72"/>
    <w:rsid w:val="006E06BA"/>
    <w:rsid w:val="006E683D"/>
    <w:rsid w:val="00717F7B"/>
    <w:rsid w:val="00742FBA"/>
    <w:rsid w:val="007511C4"/>
    <w:rsid w:val="00794AD6"/>
    <w:rsid w:val="007A1F51"/>
    <w:rsid w:val="007D7A54"/>
    <w:rsid w:val="00800831"/>
    <w:rsid w:val="008363D6"/>
    <w:rsid w:val="00880904"/>
    <w:rsid w:val="0088279F"/>
    <w:rsid w:val="0088576D"/>
    <w:rsid w:val="00893EFE"/>
    <w:rsid w:val="009A3B6C"/>
    <w:rsid w:val="009B13D4"/>
    <w:rsid w:val="009C17CA"/>
    <w:rsid w:val="009E31B2"/>
    <w:rsid w:val="00A10979"/>
    <w:rsid w:val="00A20178"/>
    <w:rsid w:val="00A20B7E"/>
    <w:rsid w:val="00A62F23"/>
    <w:rsid w:val="00AB1CA0"/>
    <w:rsid w:val="00AB6274"/>
    <w:rsid w:val="00AE5250"/>
    <w:rsid w:val="00B42963"/>
    <w:rsid w:val="00B72CC2"/>
    <w:rsid w:val="00B77EF4"/>
    <w:rsid w:val="00C259C3"/>
    <w:rsid w:val="00C621B0"/>
    <w:rsid w:val="00C64D48"/>
    <w:rsid w:val="00CC421E"/>
    <w:rsid w:val="00CC53A5"/>
    <w:rsid w:val="00CF58E9"/>
    <w:rsid w:val="00D21299"/>
    <w:rsid w:val="00D21731"/>
    <w:rsid w:val="00D25631"/>
    <w:rsid w:val="00D52152"/>
    <w:rsid w:val="00D635EC"/>
    <w:rsid w:val="00D7230E"/>
    <w:rsid w:val="00D90130"/>
    <w:rsid w:val="00D961A1"/>
    <w:rsid w:val="00DB1955"/>
    <w:rsid w:val="00DB5DD2"/>
    <w:rsid w:val="00DE2B7E"/>
    <w:rsid w:val="00E028A4"/>
    <w:rsid w:val="00E05200"/>
    <w:rsid w:val="00E31AE1"/>
    <w:rsid w:val="00E349ED"/>
    <w:rsid w:val="00EA620D"/>
    <w:rsid w:val="00EB1F31"/>
    <w:rsid w:val="00F72535"/>
    <w:rsid w:val="00F83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AA18"/>
  <w15:chartTrackingRefBased/>
  <w15:docId w15:val="{ABF79B0C-DD4A-4E6A-A398-C3348274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5F2"/>
    <w:pPr>
      <w:spacing w:after="0" w:line="240" w:lineRule="auto"/>
    </w:pPr>
    <w:rPr>
      <w:rFonts w:ascii="Calibri" w:eastAsia="Times New Roman" w:hAnsi="Calibri" w:cs="Times New Roman"/>
      <w:kern w:val="0"/>
      <w:szCs w:val="20"/>
      <w:lang w:eastAsia="pl-PL"/>
    </w:rPr>
  </w:style>
  <w:style w:type="paragraph" w:styleId="Nagwek1">
    <w:name w:val="heading 1"/>
    <w:basedOn w:val="Normalny"/>
    <w:next w:val="Normalny"/>
    <w:link w:val="Nagwek1Znak"/>
    <w:uiPriority w:val="9"/>
    <w:qFormat/>
    <w:rsid w:val="005A3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3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37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A37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37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A372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372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372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372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7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37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37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37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37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37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7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7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726"/>
    <w:rPr>
      <w:rFonts w:eastAsiaTheme="majorEastAsia" w:cstheme="majorBidi"/>
      <w:color w:val="272727" w:themeColor="text1" w:themeTint="D8"/>
    </w:rPr>
  </w:style>
  <w:style w:type="paragraph" w:styleId="Tytu">
    <w:name w:val="Title"/>
    <w:basedOn w:val="Normalny"/>
    <w:next w:val="Normalny"/>
    <w:link w:val="TytuZnak"/>
    <w:uiPriority w:val="10"/>
    <w:qFormat/>
    <w:rsid w:val="005A372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37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7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37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726"/>
    <w:pPr>
      <w:spacing w:before="160"/>
      <w:jc w:val="center"/>
    </w:pPr>
    <w:rPr>
      <w:i/>
      <w:iCs/>
      <w:color w:val="404040" w:themeColor="text1" w:themeTint="BF"/>
    </w:rPr>
  </w:style>
  <w:style w:type="character" w:customStyle="1" w:styleId="CytatZnak">
    <w:name w:val="Cytat Znak"/>
    <w:basedOn w:val="Domylnaczcionkaakapitu"/>
    <w:link w:val="Cytat"/>
    <w:uiPriority w:val="29"/>
    <w:rsid w:val="005A3726"/>
    <w:rPr>
      <w:i/>
      <w:iCs/>
      <w:color w:val="404040" w:themeColor="text1" w:themeTint="BF"/>
    </w:rPr>
  </w:style>
  <w:style w:type="paragraph" w:styleId="Akapitzlist">
    <w:name w:val="List Paragraph"/>
    <w:basedOn w:val="Normalny"/>
    <w:uiPriority w:val="34"/>
    <w:qFormat/>
    <w:rsid w:val="005A3726"/>
    <w:pPr>
      <w:ind w:left="720"/>
      <w:contextualSpacing/>
    </w:pPr>
  </w:style>
  <w:style w:type="character" w:styleId="Wyrnienieintensywne">
    <w:name w:val="Intense Emphasis"/>
    <w:basedOn w:val="Domylnaczcionkaakapitu"/>
    <w:uiPriority w:val="21"/>
    <w:qFormat/>
    <w:rsid w:val="005A3726"/>
    <w:rPr>
      <w:i/>
      <w:iCs/>
      <w:color w:val="0F4761" w:themeColor="accent1" w:themeShade="BF"/>
    </w:rPr>
  </w:style>
  <w:style w:type="paragraph" w:styleId="Cytatintensywny">
    <w:name w:val="Intense Quote"/>
    <w:basedOn w:val="Normalny"/>
    <w:next w:val="Normalny"/>
    <w:link w:val="CytatintensywnyZnak"/>
    <w:uiPriority w:val="30"/>
    <w:qFormat/>
    <w:rsid w:val="005A3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3726"/>
    <w:rPr>
      <w:i/>
      <w:iCs/>
      <w:color w:val="0F4761" w:themeColor="accent1" w:themeShade="BF"/>
    </w:rPr>
  </w:style>
  <w:style w:type="character" w:styleId="Odwoanieintensywne">
    <w:name w:val="Intense Reference"/>
    <w:basedOn w:val="Domylnaczcionkaakapitu"/>
    <w:uiPriority w:val="32"/>
    <w:qFormat/>
    <w:rsid w:val="005A3726"/>
    <w:rPr>
      <w:b/>
      <w:bCs/>
      <w:smallCaps/>
      <w:color w:val="0F4761" w:themeColor="accent1" w:themeShade="BF"/>
      <w:spacing w:val="5"/>
    </w:rPr>
  </w:style>
  <w:style w:type="paragraph" w:customStyle="1" w:styleId="Tabelapozycja">
    <w:name w:val="Tabela pozycja"/>
    <w:basedOn w:val="Normalny"/>
    <w:rsid w:val="005A3726"/>
    <w:rPr>
      <w:rFonts w:ascii="Arial" w:eastAsia="MS Outlook" w:hAnsi="Arial"/>
    </w:rPr>
  </w:style>
  <w:style w:type="character" w:styleId="Odwoaniedokomentarza">
    <w:name w:val="annotation reference"/>
    <w:basedOn w:val="Domylnaczcionkaakapitu"/>
    <w:uiPriority w:val="99"/>
    <w:semiHidden/>
    <w:unhideWhenUsed/>
    <w:rsid w:val="00E31AE1"/>
    <w:rPr>
      <w:sz w:val="16"/>
      <w:szCs w:val="16"/>
    </w:rPr>
  </w:style>
  <w:style w:type="paragraph" w:styleId="Tekstkomentarza">
    <w:name w:val="annotation text"/>
    <w:basedOn w:val="Normalny"/>
    <w:link w:val="TekstkomentarzaZnak"/>
    <w:uiPriority w:val="99"/>
    <w:unhideWhenUsed/>
    <w:rsid w:val="00E31AE1"/>
    <w:rPr>
      <w:sz w:val="20"/>
    </w:rPr>
  </w:style>
  <w:style w:type="character" w:customStyle="1" w:styleId="TekstkomentarzaZnak">
    <w:name w:val="Tekst komentarza Znak"/>
    <w:basedOn w:val="Domylnaczcionkaakapitu"/>
    <w:link w:val="Tekstkomentarza"/>
    <w:uiPriority w:val="99"/>
    <w:rsid w:val="00E31AE1"/>
    <w:rPr>
      <w:rFonts w:ascii="Arial Narrow" w:eastAsia="Times New Roman" w:hAnsi="Arial Narrow"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E31AE1"/>
    <w:rPr>
      <w:b/>
      <w:bCs/>
    </w:rPr>
  </w:style>
  <w:style w:type="character" w:customStyle="1" w:styleId="TematkomentarzaZnak">
    <w:name w:val="Temat komentarza Znak"/>
    <w:basedOn w:val="TekstkomentarzaZnak"/>
    <w:link w:val="Tematkomentarza"/>
    <w:uiPriority w:val="99"/>
    <w:semiHidden/>
    <w:rsid w:val="00E31AE1"/>
    <w:rPr>
      <w:rFonts w:ascii="Arial Narrow" w:eastAsia="Times New Roman" w:hAnsi="Arial Narrow" w:cs="Times New Roman"/>
      <w:b/>
      <w:bCs/>
      <w:kern w:val="0"/>
      <w:sz w:val="20"/>
      <w:szCs w:val="20"/>
      <w:lang w:eastAsia="pl-PL"/>
    </w:rPr>
  </w:style>
  <w:style w:type="paragraph" w:styleId="Tekstdymka">
    <w:name w:val="Balloon Text"/>
    <w:basedOn w:val="Normalny"/>
    <w:link w:val="TekstdymkaZnak"/>
    <w:uiPriority w:val="99"/>
    <w:semiHidden/>
    <w:unhideWhenUsed/>
    <w:rsid w:val="003B3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5AB"/>
    <w:rPr>
      <w:rFonts w:ascii="Segoe UI" w:eastAsia="Times New Roman" w:hAnsi="Segoe UI" w:cs="Segoe UI"/>
      <w:kern w:val="0"/>
      <w:sz w:val="18"/>
      <w:szCs w:val="18"/>
      <w:lang w:eastAsia="pl-PL"/>
    </w:rPr>
  </w:style>
  <w:style w:type="paragraph" w:styleId="Poprawka">
    <w:name w:val="Revision"/>
    <w:hidden/>
    <w:uiPriority w:val="99"/>
    <w:semiHidden/>
    <w:rsid w:val="005C6F5F"/>
    <w:pPr>
      <w:spacing w:after="0" w:line="240" w:lineRule="auto"/>
    </w:pPr>
    <w:rPr>
      <w:rFonts w:ascii="Calibri" w:eastAsia="Times New Roman" w:hAnsi="Calibri" w:cs="Times New Roman"/>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E932-595B-4818-8C93-EFE8D651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2169</Words>
  <Characters>13020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Śliwiński</dc:creator>
  <cp:keywords/>
  <dc:description/>
  <cp:lastModifiedBy>Cezary Hollitzer</cp:lastModifiedBy>
  <cp:revision>12</cp:revision>
  <dcterms:created xsi:type="dcterms:W3CDTF">2024-09-05T06:27:00Z</dcterms:created>
  <dcterms:modified xsi:type="dcterms:W3CDTF">2024-09-06T06:25:00Z</dcterms:modified>
</cp:coreProperties>
</file>